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387D" w14:textId="77777777" w:rsidR="00737159" w:rsidRPr="00EF623E" w:rsidRDefault="0078308A" w:rsidP="00737159">
      <w:pPr>
        <w:widowControl w:val="0"/>
        <w:tabs>
          <w:tab w:val="left" w:pos="720"/>
          <w:tab w:val="left" w:pos="3060"/>
        </w:tabs>
        <w:rPr>
          <w:rFonts w:asciiTheme="minorHAnsi" w:hAnsiTheme="minorHAnsi"/>
        </w:rPr>
      </w:pPr>
      <w:r w:rsidRPr="00EF623E">
        <w:rPr>
          <w:rFonts w:asciiTheme="minorHAnsi" w:hAnsiTheme="minorHAnsi"/>
          <w:noProof/>
        </w:rPr>
        <w:drawing>
          <wp:anchor distT="0" distB="0" distL="114300" distR="114300" simplePos="0" relativeHeight="251658240" behindDoc="1" locked="0" layoutInCell="1" allowOverlap="1" wp14:anchorId="74E8BFCB" wp14:editId="2012C4D6">
            <wp:simplePos x="0" y="0"/>
            <wp:positionH relativeFrom="column">
              <wp:posOffset>18749</wp:posOffset>
            </wp:positionH>
            <wp:positionV relativeFrom="paragraph">
              <wp:posOffset>71511</wp:posOffset>
            </wp:positionV>
            <wp:extent cx="1950427" cy="849923"/>
            <wp:effectExtent l="19050" t="0" r="0" b="0"/>
            <wp:wrapNone/>
            <wp:docPr id="5" name="Picture 4" descr="SDG_logo colour 2012 (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 colour 2012 (150dpi).png"/>
                    <pic:cNvPicPr/>
                  </pic:nvPicPr>
                  <pic:blipFill>
                    <a:blip r:embed="rId12" cstate="print"/>
                    <a:stretch>
                      <a:fillRect/>
                    </a:stretch>
                  </pic:blipFill>
                  <pic:spPr>
                    <a:xfrm>
                      <a:off x="0" y="0"/>
                      <a:ext cx="1950427" cy="849923"/>
                    </a:xfrm>
                    <a:prstGeom prst="rect">
                      <a:avLst/>
                    </a:prstGeom>
                  </pic:spPr>
                </pic:pic>
              </a:graphicData>
            </a:graphic>
          </wp:anchor>
        </w:drawing>
      </w:r>
      <w:r w:rsidR="00737159" w:rsidRPr="00EF623E">
        <w:rPr>
          <w:rFonts w:asciiTheme="minorHAnsi" w:hAnsiTheme="minorHAnsi"/>
        </w:rPr>
        <w:tab/>
      </w:r>
    </w:p>
    <w:p w14:paraId="007EE815" w14:textId="77777777" w:rsidR="00737159" w:rsidRPr="00EF623E" w:rsidRDefault="00737159" w:rsidP="00737159">
      <w:pPr>
        <w:widowControl w:val="0"/>
        <w:tabs>
          <w:tab w:val="left" w:pos="720"/>
          <w:tab w:val="left" w:pos="3240"/>
        </w:tabs>
        <w:spacing w:line="276" w:lineRule="auto"/>
        <w:rPr>
          <w:rFonts w:asciiTheme="minorHAnsi" w:hAnsiTheme="minorHAnsi"/>
          <w:b/>
          <w:szCs w:val="24"/>
        </w:rPr>
      </w:pPr>
      <w:r w:rsidRPr="00EF623E">
        <w:rPr>
          <w:rFonts w:asciiTheme="minorHAnsi" w:hAnsiTheme="minorHAnsi"/>
          <w:b/>
          <w:sz w:val="32"/>
          <w:szCs w:val="32"/>
        </w:rPr>
        <w:tab/>
      </w:r>
      <w:r w:rsidRPr="00EF623E">
        <w:rPr>
          <w:rFonts w:asciiTheme="minorHAnsi" w:hAnsiTheme="minorHAnsi"/>
          <w:b/>
          <w:sz w:val="32"/>
          <w:szCs w:val="32"/>
        </w:rPr>
        <w:tab/>
      </w:r>
      <w:r w:rsidR="00015404">
        <w:rPr>
          <w:rFonts w:asciiTheme="minorHAnsi" w:hAnsiTheme="minorHAnsi"/>
          <w:b/>
          <w:szCs w:val="24"/>
        </w:rPr>
        <w:t>TRANSPORTATION AND PLANNING SERVICES</w:t>
      </w:r>
    </w:p>
    <w:p w14:paraId="1F9A2AD9" w14:textId="77777777" w:rsidR="00737159" w:rsidRPr="00EF623E" w:rsidRDefault="00737159" w:rsidP="00737159">
      <w:pPr>
        <w:widowControl w:val="0"/>
        <w:tabs>
          <w:tab w:val="left" w:pos="720"/>
          <w:tab w:val="left" w:pos="3240"/>
        </w:tabs>
        <w:spacing w:line="276" w:lineRule="auto"/>
        <w:rPr>
          <w:rFonts w:asciiTheme="minorHAnsi" w:hAnsiTheme="minorHAnsi"/>
          <w:sz w:val="20"/>
        </w:rPr>
      </w:pPr>
      <w:r w:rsidRPr="00EF623E">
        <w:rPr>
          <w:rFonts w:asciiTheme="minorHAnsi" w:hAnsiTheme="minorHAnsi"/>
          <w:sz w:val="20"/>
        </w:rPr>
        <w:tab/>
      </w:r>
      <w:r w:rsidRPr="00EF623E">
        <w:rPr>
          <w:rFonts w:asciiTheme="minorHAnsi" w:hAnsiTheme="minorHAnsi"/>
          <w:sz w:val="20"/>
        </w:rPr>
        <w:tab/>
        <w:t xml:space="preserve">26 Pitt Street, Suite 223, Cornwall, </w:t>
      </w:r>
      <w:proofErr w:type="gramStart"/>
      <w:r w:rsidRPr="00EF623E">
        <w:rPr>
          <w:rFonts w:asciiTheme="minorHAnsi" w:hAnsiTheme="minorHAnsi"/>
          <w:sz w:val="20"/>
        </w:rPr>
        <w:t>Ontario  K</w:t>
      </w:r>
      <w:proofErr w:type="gramEnd"/>
      <w:r w:rsidRPr="00EF623E">
        <w:rPr>
          <w:rFonts w:asciiTheme="minorHAnsi" w:hAnsiTheme="minorHAnsi"/>
          <w:sz w:val="20"/>
        </w:rPr>
        <w:t>6J 3P2</w:t>
      </w:r>
    </w:p>
    <w:p w14:paraId="786A89AB" w14:textId="77777777" w:rsidR="00737159" w:rsidRPr="00EF623E" w:rsidRDefault="00737159" w:rsidP="00737159">
      <w:pPr>
        <w:widowControl w:val="0"/>
        <w:tabs>
          <w:tab w:val="left" w:pos="3240"/>
        </w:tabs>
        <w:spacing w:line="227" w:lineRule="auto"/>
        <w:rPr>
          <w:rFonts w:asciiTheme="minorHAnsi" w:hAnsiTheme="minorHAnsi"/>
          <w:sz w:val="16"/>
        </w:rPr>
      </w:pPr>
      <w:r w:rsidRPr="00EF623E">
        <w:rPr>
          <w:rFonts w:asciiTheme="minorHAnsi" w:hAnsiTheme="minorHAnsi"/>
          <w:sz w:val="20"/>
        </w:rPr>
        <w:tab/>
      </w:r>
      <w:r w:rsidRPr="00EF623E">
        <w:rPr>
          <w:rFonts w:asciiTheme="minorHAnsi" w:hAnsiTheme="minorHAnsi"/>
          <w:sz w:val="16"/>
        </w:rPr>
        <w:t xml:space="preserve">Tel: 613-932-1515   •   Fax: 613-936-2913    •    Email </w:t>
      </w:r>
      <w:hyperlink r:id="rId13" w:history="1">
        <w:r w:rsidRPr="00EF623E">
          <w:rPr>
            <w:rStyle w:val="Hyperlink"/>
            <w:rFonts w:asciiTheme="minorHAnsi" w:hAnsiTheme="minorHAnsi"/>
            <w:sz w:val="16"/>
          </w:rPr>
          <w:t>info@sdgcounties.ca</w:t>
        </w:r>
      </w:hyperlink>
      <w:r w:rsidRPr="00EF623E">
        <w:rPr>
          <w:rFonts w:asciiTheme="minorHAnsi" w:hAnsiTheme="minorHAnsi"/>
          <w:sz w:val="16"/>
        </w:rPr>
        <w:t xml:space="preserve">      •     </w:t>
      </w:r>
      <w:hyperlink r:id="rId14" w:history="1">
        <w:r w:rsidR="00AD244B" w:rsidRPr="00EF623E">
          <w:rPr>
            <w:rStyle w:val="Hyperlink"/>
            <w:rFonts w:asciiTheme="minorHAnsi" w:hAnsiTheme="minorHAnsi"/>
            <w:sz w:val="16"/>
          </w:rPr>
          <w:t>www.sdgcounties.ca</w:t>
        </w:r>
      </w:hyperlink>
    </w:p>
    <w:p w14:paraId="2A304B5D" w14:textId="77777777" w:rsidR="00AD244B" w:rsidRPr="00EF623E" w:rsidRDefault="00AD244B" w:rsidP="00737159">
      <w:pPr>
        <w:widowControl w:val="0"/>
        <w:tabs>
          <w:tab w:val="left" w:pos="3240"/>
        </w:tabs>
        <w:spacing w:line="227" w:lineRule="auto"/>
        <w:rPr>
          <w:rFonts w:asciiTheme="minorHAnsi" w:hAnsiTheme="minorHAnsi"/>
          <w:sz w:val="16"/>
        </w:rPr>
      </w:pPr>
    </w:p>
    <w:p w14:paraId="19C7EFC0" w14:textId="77777777" w:rsidR="00AD244B" w:rsidRPr="00EF623E" w:rsidRDefault="00AD244B" w:rsidP="00737159">
      <w:pPr>
        <w:widowControl w:val="0"/>
        <w:tabs>
          <w:tab w:val="left" w:pos="3240"/>
        </w:tabs>
        <w:spacing w:line="227" w:lineRule="auto"/>
        <w:rPr>
          <w:rFonts w:asciiTheme="minorHAnsi" w:hAnsiTheme="minorHAnsi"/>
          <w:sz w:val="22"/>
          <w:szCs w:val="22"/>
        </w:rPr>
      </w:pPr>
    </w:p>
    <w:p w14:paraId="26455EBC" w14:textId="77777777" w:rsidR="000508CE" w:rsidRDefault="000508CE" w:rsidP="000508CE">
      <w:pPr>
        <w:tabs>
          <w:tab w:val="left" w:pos="1008"/>
        </w:tabs>
        <w:jc w:val="center"/>
        <w:rPr>
          <w:rFonts w:ascii="Calibri" w:hAnsi="Calibri"/>
          <w:sz w:val="28"/>
          <w:szCs w:val="28"/>
        </w:rPr>
      </w:pPr>
    </w:p>
    <w:p w14:paraId="4E501ECC" w14:textId="022009F7" w:rsidR="000508CE" w:rsidRDefault="000508CE" w:rsidP="000508CE">
      <w:pPr>
        <w:tabs>
          <w:tab w:val="left" w:pos="1008"/>
        </w:tabs>
        <w:jc w:val="center"/>
        <w:rPr>
          <w:rFonts w:ascii="Calibri" w:hAnsi="Calibri"/>
          <w:b/>
          <w:sz w:val="48"/>
          <w:szCs w:val="48"/>
        </w:rPr>
      </w:pPr>
      <w:r w:rsidRPr="000508CE">
        <w:rPr>
          <w:rFonts w:ascii="Calibri" w:hAnsi="Calibri"/>
          <w:b/>
          <w:sz w:val="48"/>
          <w:szCs w:val="48"/>
        </w:rPr>
        <w:t>20</w:t>
      </w:r>
      <w:r w:rsidR="00547A30">
        <w:rPr>
          <w:rFonts w:ascii="Calibri" w:hAnsi="Calibri"/>
          <w:b/>
          <w:sz w:val="48"/>
          <w:szCs w:val="48"/>
        </w:rPr>
        <w:t>2</w:t>
      </w:r>
      <w:r w:rsidR="009318C7">
        <w:rPr>
          <w:rFonts w:ascii="Calibri" w:hAnsi="Calibri"/>
          <w:b/>
          <w:sz w:val="48"/>
          <w:szCs w:val="48"/>
        </w:rPr>
        <w:t>4</w:t>
      </w:r>
      <w:r w:rsidR="00547A30">
        <w:rPr>
          <w:rFonts w:ascii="Calibri" w:hAnsi="Calibri"/>
          <w:b/>
          <w:sz w:val="48"/>
          <w:szCs w:val="48"/>
        </w:rPr>
        <w:t xml:space="preserve"> Spraying </w:t>
      </w:r>
      <w:r w:rsidRPr="000508CE">
        <w:rPr>
          <w:rFonts w:ascii="Calibri" w:hAnsi="Calibri"/>
          <w:b/>
          <w:sz w:val="48"/>
          <w:szCs w:val="48"/>
        </w:rPr>
        <w:t>Log</w:t>
      </w:r>
    </w:p>
    <w:p w14:paraId="72BA6367" w14:textId="77777777" w:rsidR="00A678BA" w:rsidRDefault="00A678BA" w:rsidP="000508CE">
      <w:pPr>
        <w:tabs>
          <w:tab w:val="left" w:pos="1008"/>
        </w:tabs>
        <w:jc w:val="center"/>
        <w:rPr>
          <w:rFonts w:ascii="Calibri" w:hAnsi="Calibri"/>
          <w:b/>
          <w:sz w:val="48"/>
          <w:szCs w:val="48"/>
        </w:rPr>
      </w:pPr>
    </w:p>
    <w:p w14:paraId="73846AD0" w14:textId="70723ABE" w:rsidR="0018169E" w:rsidRPr="00A678BA" w:rsidRDefault="00A678BA" w:rsidP="000508CE">
      <w:pPr>
        <w:tabs>
          <w:tab w:val="left" w:pos="1008"/>
        </w:tabs>
        <w:jc w:val="center"/>
        <w:rPr>
          <w:rFonts w:ascii="Calibri" w:hAnsi="Calibri"/>
          <w:b/>
          <w:sz w:val="28"/>
          <w:szCs w:val="28"/>
        </w:rPr>
      </w:pPr>
      <w:r w:rsidRPr="008E6B3F">
        <w:rPr>
          <w:rFonts w:ascii="Calibri" w:hAnsi="Calibri"/>
          <w:b/>
          <w:sz w:val="28"/>
          <w:szCs w:val="28"/>
          <w:u w:val="single"/>
        </w:rPr>
        <w:t xml:space="preserve">Note: </w:t>
      </w:r>
      <w:r w:rsidR="00547A30">
        <w:rPr>
          <w:rFonts w:ascii="Calibri" w:hAnsi="Calibri"/>
          <w:b/>
          <w:sz w:val="28"/>
          <w:szCs w:val="28"/>
          <w:u w:val="single"/>
        </w:rPr>
        <w:t xml:space="preserve">Contractor </w:t>
      </w:r>
      <w:r w:rsidR="009318C7">
        <w:rPr>
          <w:rFonts w:ascii="Calibri" w:hAnsi="Calibri"/>
          <w:b/>
          <w:sz w:val="28"/>
          <w:szCs w:val="28"/>
          <w:u w:val="single"/>
        </w:rPr>
        <w:t>began work May 9th</w:t>
      </w:r>
      <w:r w:rsidR="00547A30">
        <w:rPr>
          <w:rFonts w:ascii="Calibri" w:hAnsi="Calibri"/>
          <w:b/>
          <w:sz w:val="28"/>
          <w:szCs w:val="28"/>
          <w:u w:val="single"/>
        </w:rPr>
        <w:t>, 2023</w:t>
      </w:r>
    </w:p>
    <w:p w14:paraId="3A02AC44" w14:textId="77777777" w:rsidR="00A678BA" w:rsidRPr="009A5222" w:rsidRDefault="00A678BA" w:rsidP="000508CE">
      <w:pPr>
        <w:tabs>
          <w:tab w:val="left" w:pos="1008"/>
        </w:tabs>
        <w:jc w:val="center"/>
        <w:rPr>
          <w:rFonts w:ascii="Calibri" w:hAnsi="Calibri"/>
          <w:sz w:val="28"/>
          <w:szCs w:val="28"/>
        </w:rPr>
      </w:pPr>
    </w:p>
    <w:tbl>
      <w:tblPr>
        <w:tblStyle w:val="TableGrid"/>
        <w:tblW w:w="0" w:type="auto"/>
        <w:tblInd w:w="108" w:type="dxa"/>
        <w:tblLook w:val="04A0" w:firstRow="1" w:lastRow="0" w:firstColumn="1" w:lastColumn="0" w:noHBand="0" w:noVBand="1"/>
      </w:tblPr>
      <w:tblGrid>
        <w:gridCol w:w="2377"/>
        <w:gridCol w:w="7547"/>
      </w:tblGrid>
      <w:tr w:rsidR="000508CE" w:rsidRPr="009A5222" w14:paraId="24D7E644" w14:textId="77777777" w:rsidTr="008271D6">
        <w:trPr>
          <w:trHeight w:val="527"/>
          <w:tblHeader/>
        </w:trPr>
        <w:tc>
          <w:tcPr>
            <w:tcW w:w="2377" w:type="dxa"/>
            <w:tcBorders>
              <w:top w:val="single" w:sz="12" w:space="0" w:color="auto"/>
              <w:left w:val="single" w:sz="12" w:space="0" w:color="auto"/>
              <w:bottom w:val="single" w:sz="12" w:space="0" w:color="auto"/>
              <w:right w:val="single" w:sz="12" w:space="0" w:color="auto"/>
            </w:tcBorders>
            <w:vAlign w:val="center"/>
          </w:tcPr>
          <w:p w14:paraId="13978C8A" w14:textId="77777777" w:rsidR="000508CE" w:rsidRPr="009A5222" w:rsidRDefault="000508CE" w:rsidP="002E74F1">
            <w:pPr>
              <w:tabs>
                <w:tab w:val="left" w:pos="1008"/>
              </w:tabs>
              <w:jc w:val="center"/>
              <w:rPr>
                <w:rFonts w:ascii="Calibri" w:hAnsi="Calibri"/>
                <w:b/>
                <w:sz w:val="28"/>
                <w:szCs w:val="28"/>
              </w:rPr>
            </w:pPr>
            <w:r w:rsidRPr="009A5222">
              <w:rPr>
                <w:rFonts w:ascii="Calibri" w:hAnsi="Calibri"/>
                <w:b/>
                <w:sz w:val="28"/>
                <w:szCs w:val="28"/>
              </w:rPr>
              <w:t>Date</w:t>
            </w:r>
          </w:p>
        </w:tc>
        <w:tc>
          <w:tcPr>
            <w:tcW w:w="7547" w:type="dxa"/>
            <w:tcBorders>
              <w:top w:val="single" w:sz="12" w:space="0" w:color="auto"/>
              <w:left w:val="single" w:sz="12" w:space="0" w:color="auto"/>
              <w:bottom w:val="single" w:sz="12" w:space="0" w:color="auto"/>
              <w:right w:val="single" w:sz="12" w:space="0" w:color="auto"/>
            </w:tcBorders>
            <w:vAlign w:val="center"/>
          </w:tcPr>
          <w:p w14:paraId="37F749D3" w14:textId="77777777" w:rsidR="000508CE" w:rsidRPr="009A5222" w:rsidRDefault="00935B53" w:rsidP="002E74F1">
            <w:pPr>
              <w:tabs>
                <w:tab w:val="left" w:pos="1008"/>
              </w:tabs>
              <w:jc w:val="center"/>
              <w:rPr>
                <w:rFonts w:ascii="Calibri" w:hAnsi="Calibri"/>
                <w:b/>
                <w:sz w:val="28"/>
                <w:szCs w:val="28"/>
              </w:rPr>
            </w:pPr>
            <w:r>
              <w:rPr>
                <w:rFonts w:ascii="Calibri" w:hAnsi="Calibri"/>
                <w:b/>
                <w:sz w:val="28"/>
                <w:szCs w:val="28"/>
              </w:rPr>
              <w:t>N</w:t>
            </w:r>
            <w:r w:rsidR="000508CE" w:rsidRPr="009A5222">
              <w:rPr>
                <w:rFonts w:ascii="Calibri" w:hAnsi="Calibri"/>
                <w:b/>
                <w:sz w:val="28"/>
                <w:szCs w:val="28"/>
              </w:rPr>
              <w:t>otes /Comments</w:t>
            </w:r>
          </w:p>
        </w:tc>
      </w:tr>
      <w:tr w:rsidR="000508CE" w14:paraId="354925A8" w14:textId="77777777" w:rsidTr="00547A30">
        <w:trPr>
          <w:trHeight w:val="1074"/>
        </w:trPr>
        <w:tc>
          <w:tcPr>
            <w:tcW w:w="2377" w:type="dxa"/>
            <w:tcBorders>
              <w:top w:val="single" w:sz="12" w:space="0" w:color="auto"/>
              <w:left w:val="single" w:sz="12" w:space="0" w:color="auto"/>
              <w:bottom w:val="single" w:sz="12" w:space="0" w:color="auto"/>
              <w:right w:val="single" w:sz="12" w:space="0" w:color="auto"/>
            </w:tcBorders>
            <w:vAlign w:val="center"/>
          </w:tcPr>
          <w:p w14:paraId="09A9848A" w14:textId="3ED05F0F" w:rsidR="000508CE" w:rsidRPr="009A5222" w:rsidRDefault="009318C7" w:rsidP="002E74F1">
            <w:pPr>
              <w:tabs>
                <w:tab w:val="left" w:pos="1008"/>
              </w:tabs>
              <w:jc w:val="center"/>
              <w:rPr>
                <w:rFonts w:ascii="Calibri" w:hAnsi="Calibri"/>
                <w:sz w:val="22"/>
                <w:szCs w:val="22"/>
              </w:rPr>
            </w:pPr>
            <w:r>
              <w:rPr>
                <w:rFonts w:ascii="Calibri" w:hAnsi="Calibri"/>
                <w:sz w:val="22"/>
                <w:szCs w:val="22"/>
              </w:rPr>
              <w:t>May 9th</w:t>
            </w:r>
          </w:p>
        </w:tc>
        <w:tc>
          <w:tcPr>
            <w:tcW w:w="7547" w:type="dxa"/>
            <w:tcBorders>
              <w:top w:val="single" w:sz="12" w:space="0" w:color="auto"/>
              <w:left w:val="single" w:sz="12" w:space="0" w:color="auto"/>
              <w:bottom w:val="single" w:sz="12" w:space="0" w:color="auto"/>
              <w:right w:val="single" w:sz="12" w:space="0" w:color="auto"/>
            </w:tcBorders>
          </w:tcPr>
          <w:p w14:paraId="00B64955" w14:textId="77777777" w:rsidR="008B00E0" w:rsidRDefault="009318C7" w:rsidP="00B960F0">
            <w:pPr>
              <w:tabs>
                <w:tab w:val="left" w:pos="1168"/>
              </w:tabs>
              <w:jc w:val="both"/>
              <w:rPr>
                <w:rFonts w:ascii="Calibri" w:hAnsi="Calibri"/>
                <w:sz w:val="22"/>
                <w:szCs w:val="22"/>
              </w:rPr>
            </w:pPr>
            <w:r>
              <w:rPr>
                <w:rFonts w:ascii="Calibri" w:hAnsi="Calibri"/>
                <w:sz w:val="22"/>
                <w:szCs w:val="22"/>
              </w:rPr>
              <w:t xml:space="preserve">The contractor </w:t>
            </w:r>
            <w:r w:rsidR="008B00E0">
              <w:rPr>
                <w:rFonts w:ascii="Calibri" w:hAnsi="Calibri"/>
                <w:sz w:val="22"/>
                <w:szCs w:val="22"/>
              </w:rPr>
              <w:t xml:space="preserve">began spraying today in North Dundas, South Dundas, North </w:t>
            </w:r>
            <w:proofErr w:type="gramStart"/>
            <w:r w:rsidR="008B00E0">
              <w:rPr>
                <w:rFonts w:ascii="Calibri" w:hAnsi="Calibri"/>
                <w:sz w:val="22"/>
                <w:szCs w:val="22"/>
              </w:rPr>
              <w:t>Glengarry</w:t>
            </w:r>
            <w:proofErr w:type="gramEnd"/>
            <w:r w:rsidR="008B00E0">
              <w:rPr>
                <w:rFonts w:ascii="Calibri" w:hAnsi="Calibri"/>
                <w:sz w:val="22"/>
                <w:szCs w:val="22"/>
              </w:rPr>
              <w:t xml:space="preserve"> and South Glengarry.</w:t>
            </w:r>
          </w:p>
          <w:p w14:paraId="544CF21C" w14:textId="77777777" w:rsidR="008B00E0" w:rsidRDefault="008B00E0" w:rsidP="00B960F0">
            <w:pPr>
              <w:tabs>
                <w:tab w:val="left" w:pos="1168"/>
              </w:tabs>
              <w:jc w:val="both"/>
              <w:rPr>
                <w:rFonts w:ascii="Calibri" w:hAnsi="Calibri"/>
                <w:sz w:val="22"/>
                <w:szCs w:val="22"/>
              </w:rPr>
            </w:pPr>
          </w:p>
          <w:p w14:paraId="06B89025" w14:textId="13D2D053" w:rsidR="008B00E0" w:rsidRDefault="00C05832" w:rsidP="00B960F0">
            <w:pPr>
              <w:tabs>
                <w:tab w:val="left" w:pos="1168"/>
              </w:tabs>
              <w:jc w:val="both"/>
              <w:rPr>
                <w:rFonts w:ascii="Calibri" w:hAnsi="Calibri"/>
                <w:sz w:val="22"/>
                <w:szCs w:val="22"/>
              </w:rPr>
            </w:pPr>
            <w:r w:rsidRPr="00C85C3F">
              <w:rPr>
                <w:rFonts w:ascii="Calibri" w:hAnsi="Calibri"/>
                <w:b/>
                <w:bCs/>
                <w:sz w:val="22"/>
                <w:szCs w:val="22"/>
              </w:rPr>
              <w:t xml:space="preserve">Township of </w:t>
            </w:r>
            <w:r w:rsidR="008B00E0" w:rsidRPr="00C85C3F">
              <w:rPr>
                <w:rFonts w:ascii="Calibri" w:hAnsi="Calibri"/>
                <w:b/>
                <w:bCs/>
                <w:sz w:val="22"/>
                <w:szCs w:val="22"/>
              </w:rPr>
              <w:t>North Glen</w:t>
            </w:r>
            <w:r w:rsidRPr="00C85C3F">
              <w:rPr>
                <w:rFonts w:ascii="Calibri" w:hAnsi="Calibri"/>
                <w:b/>
                <w:bCs/>
                <w:sz w:val="22"/>
                <w:szCs w:val="22"/>
              </w:rPr>
              <w:t>garry</w:t>
            </w:r>
            <w:r w:rsidR="008B00E0">
              <w:rPr>
                <w:rFonts w:ascii="Calibri" w:hAnsi="Calibri"/>
                <w:sz w:val="22"/>
                <w:szCs w:val="22"/>
              </w:rPr>
              <w:t>- township roads completed</w:t>
            </w:r>
            <w:r w:rsidR="00C85C3F">
              <w:rPr>
                <w:rFonts w:ascii="Calibri" w:hAnsi="Calibri"/>
                <w:sz w:val="22"/>
                <w:szCs w:val="22"/>
              </w:rPr>
              <w:t xml:space="preserve"> as per map.</w:t>
            </w:r>
          </w:p>
          <w:p w14:paraId="55D2A324" w14:textId="77777777" w:rsidR="008B00E0" w:rsidRDefault="008B00E0" w:rsidP="00B960F0">
            <w:pPr>
              <w:tabs>
                <w:tab w:val="left" w:pos="1168"/>
              </w:tabs>
              <w:jc w:val="both"/>
              <w:rPr>
                <w:rFonts w:ascii="Calibri" w:hAnsi="Calibri"/>
                <w:sz w:val="22"/>
                <w:szCs w:val="22"/>
              </w:rPr>
            </w:pPr>
          </w:p>
          <w:p w14:paraId="26E8D39D" w14:textId="5C2A430D" w:rsidR="008B00E0" w:rsidRDefault="00C05832" w:rsidP="00B960F0">
            <w:pPr>
              <w:tabs>
                <w:tab w:val="left" w:pos="1168"/>
              </w:tabs>
              <w:jc w:val="both"/>
              <w:rPr>
                <w:rFonts w:ascii="Calibri" w:hAnsi="Calibri"/>
                <w:sz w:val="22"/>
                <w:szCs w:val="22"/>
              </w:rPr>
            </w:pPr>
            <w:r w:rsidRPr="00C85C3F">
              <w:rPr>
                <w:rFonts w:ascii="Calibri" w:hAnsi="Calibri"/>
                <w:b/>
                <w:bCs/>
                <w:sz w:val="22"/>
                <w:szCs w:val="22"/>
              </w:rPr>
              <w:t xml:space="preserve">Township of </w:t>
            </w:r>
            <w:r w:rsidR="008B00E0" w:rsidRPr="00C85C3F">
              <w:rPr>
                <w:rFonts w:ascii="Calibri" w:hAnsi="Calibri"/>
                <w:b/>
                <w:bCs/>
                <w:sz w:val="22"/>
                <w:szCs w:val="22"/>
              </w:rPr>
              <w:t>North Dundas-</w:t>
            </w:r>
            <w:r w:rsidR="008B00E0">
              <w:rPr>
                <w:rFonts w:ascii="Calibri" w:hAnsi="Calibri"/>
                <w:sz w:val="22"/>
                <w:szCs w:val="22"/>
              </w:rPr>
              <w:t xml:space="preserve"> </w:t>
            </w:r>
            <w:r w:rsidR="004B7A2B">
              <w:rPr>
                <w:rFonts w:ascii="Calibri" w:hAnsi="Calibri"/>
                <w:sz w:val="22"/>
                <w:szCs w:val="22"/>
              </w:rPr>
              <w:t>Spruit, Jennings, Riddell, Cloverdale, Armstrong, Merkley,</w:t>
            </w:r>
            <w:r w:rsidR="00043D54">
              <w:rPr>
                <w:rFonts w:ascii="Calibri" w:hAnsi="Calibri"/>
                <w:sz w:val="22"/>
                <w:szCs w:val="22"/>
              </w:rPr>
              <w:t xml:space="preserve"> Harmony, Kerrs Ridge, Lillico, Blain, Church, Crowder, Van Camp,</w:t>
            </w:r>
            <w:r w:rsidR="0074595A">
              <w:rPr>
                <w:rFonts w:ascii="Calibri" w:hAnsi="Calibri"/>
                <w:sz w:val="22"/>
                <w:szCs w:val="22"/>
              </w:rPr>
              <w:t xml:space="preserve"> Ronson., Clark, Shaw, Loughlin Ridge, Allan, Boundary, French Settlement, </w:t>
            </w:r>
            <w:r w:rsidR="00412D00">
              <w:rPr>
                <w:rFonts w:ascii="Calibri" w:hAnsi="Calibri"/>
                <w:sz w:val="22"/>
                <w:szCs w:val="22"/>
              </w:rPr>
              <w:t>Observation</w:t>
            </w:r>
            <w:r w:rsidR="0074595A">
              <w:rPr>
                <w:rFonts w:ascii="Calibri" w:hAnsi="Calibri"/>
                <w:sz w:val="22"/>
                <w:szCs w:val="22"/>
              </w:rPr>
              <w:t>, Lever</w:t>
            </w:r>
            <w:r w:rsidR="00412D00">
              <w:rPr>
                <w:rFonts w:ascii="Calibri" w:hAnsi="Calibri"/>
                <w:sz w:val="22"/>
                <w:szCs w:val="22"/>
              </w:rPr>
              <w:t>e, Fawcett</w:t>
            </w:r>
          </w:p>
          <w:p w14:paraId="1C7A7EDC" w14:textId="77777777" w:rsidR="008B00E0" w:rsidRDefault="008B00E0" w:rsidP="00B960F0">
            <w:pPr>
              <w:tabs>
                <w:tab w:val="left" w:pos="1168"/>
              </w:tabs>
              <w:jc w:val="both"/>
              <w:rPr>
                <w:rFonts w:ascii="Calibri" w:hAnsi="Calibri"/>
                <w:sz w:val="22"/>
                <w:szCs w:val="22"/>
              </w:rPr>
            </w:pPr>
          </w:p>
          <w:p w14:paraId="11A98C50" w14:textId="55440CDC" w:rsidR="008B00E0" w:rsidRDefault="00123A81" w:rsidP="00B960F0">
            <w:pPr>
              <w:tabs>
                <w:tab w:val="left" w:pos="1168"/>
              </w:tabs>
              <w:jc w:val="both"/>
              <w:rPr>
                <w:rFonts w:ascii="Calibri" w:hAnsi="Calibri"/>
                <w:sz w:val="22"/>
                <w:szCs w:val="22"/>
              </w:rPr>
            </w:pPr>
            <w:r w:rsidRPr="00C85C3F">
              <w:rPr>
                <w:rFonts w:ascii="Calibri" w:hAnsi="Calibri"/>
                <w:b/>
                <w:bCs/>
                <w:sz w:val="22"/>
                <w:szCs w:val="22"/>
              </w:rPr>
              <w:t>County Roads-</w:t>
            </w:r>
            <w:r>
              <w:rPr>
                <w:rFonts w:ascii="Calibri" w:hAnsi="Calibri"/>
                <w:sz w:val="22"/>
                <w:szCs w:val="22"/>
              </w:rPr>
              <w:t xml:space="preserve"> C</w:t>
            </w:r>
            <w:r w:rsidR="00790F24">
              <w:rPr>
                <w:rFonts w:ascii="Calibri" w:hAnsi="Calibri"/>
                <w:sz w:val="22"/>
                <w:szCs w:val="22"/>
              </w:rPr>
              <w:t>ounty Road 1, County Road 2, County Road 16, County Road 38,</w:t>
            </w:r>
            <w:r w:rsidR="009E1526">
              <w:rPr>
                <w:rFonts w:ascii="Calibri" w:hAnsi="Calibri"/>
                <w:sz w:val="22"/>
                <w:szCs w:val="22"/>
              </w:rPr>
              <w:t xml:space="preserve"> County Road 18, within the townships of North and South Dundas</w:t>
            </w:r>
          </w:p>
          <w:p w14:paraId="64199793" w14:textId="77777777" w:rsidR="009E1526" w:rsidRDefault="009E1526" w:rsidP="00B960F0">
            <w:pPr>
              <w:tabs>
                <w:tab w:val="left" w:pos="1168"/>
              </w:tabs>
              <w:jc w:val="both"/>
              <w:rPr>
                <w:rFonts w:ascii="Calibri" w:hAnsi="Calibri"/>
                <w:sz w:val="22"/>
                <w:szCs w:val="22"/>
              </w:rPr>
            </w:pPr>
          </w:p>
          <w:p w14:paraId="35232161" w14:textId="3277D382" w:rsidR="009E1526" w:rsidRDefault="00EA6AE1" w:rsidP="00B960F0">
            <w:pPr>
              <w:tabs>
                <w:tab w:val="left" w:pos="1168"/>
              </w:tabs>
              <w:jc w:val="both"/>
              <w:rPr>
                <w:rFonts w:ascii="Calibri" w:hAnsi="Calibri"/>
                <w:sz w:val="22"/>
                <w:szCs w:val="22"/>
              </w:rPr>
            </w:pPr>
            <w:r>
              <w:rPr>
                <w:rFonts w:ascii="Calibri" w:hAnsi="Calibri"/>
                <w:b/>
                <w:bCs/>
                <w:sz w:val="22"/>
                <w:szCs w:val="22"/>
              </w:rPr>
              <w:t>Municipality</w:t>
            </w:r>
            <w:r w:rsidR="009E1526" w:rsidRPr="00C85C3F">
              <w:rPr>
                <w:rFonts w:ascii="Calibri" w:hAnsi="Calibri"/>
                <w:b/>
                <w:bCs/>
                <w:sz w:val="22"/>
                <w:szCs w:val="22"/>
              </w:rPr>
              <w:t xml:space="preserve"> of South Dundas</w:t>
            </w:r>
            <w:r w:rsidR="009E1526">
              <w:rPr>
                <w:rFonts w:ascii="Calibri" w:hAnsi="Calibri"/>
                <w:sz w:val="22"/>
                <w:szCs w:val="22"/>
              </w:rPr>
              <w:t xml:space="preserve">- </w:t>
            </w:r>
            <w:r w:rsidR="00E2568F">
              <w:rPr>
                <w:rFonts w:ascii="Calibri" w:hAnsi="Calibri"/>
                <w:sz w:val="22"/>
                <w:szCs w:val="22"/>
              </w:rPr>
              <w:t>Irish Headline, Pleasant Valley, Valance, Hulbert, Snowbird, Toyes Hill, Kirker,</w:t>
            </w:r>
            <w:r w:rsidR="00E63040">
              <w:rPr>
                <w:rFonts w:ascii="Calibri" w:hAnsi="Calibri"/>
                <w:sz w:val="22"/>
                <w:szCs w:val="22"/>
              </w:rPr>
              <w:t xml:space="preserve"> Branch, South Branch, Taylor, Gilmour, Bell, Willow, Henderson</w:t>
            </w:r>
          </w:p>
          <w:p w14:paraId="7A3ED7BF" w14:textId="77777777" w:rsidR="00E63040" w:rsidRDefault="00E63040" w:rsidP="00B960F0">
            <w:pPr>
              <w:tabs>
                <w:tab w:val="left" w:pos="1168"/>
              </w:tabs>
              <w:jc w:val="both"/>
              <w:rPr>
                <w:rFonts w:ascii="Calibri" w:hAnsi="Calibri"/>
                <w:sz w:val="22"/>
                <w:szCs w:val="22"/>
              </w:rPr>
            </w:pPr>
          </w:p>
          <w:p w14:paraId="715B1440" w14:textId="5C9D14FD" w:rsidR="00E63040" w:rsidRDefault="00EA6AE1" w:rsidP="00B960F0">
            <w:pPr>
              <w:tabs>
                <w:tab w:val="left" w:pos="1168"/>
              </w:tabs>
              <w:jc w:val="both"/>
              <w:rPr>
                <w:rFonts w:ascii="Calibri" w:hAnsi="Calibri"/>
                <w:sz w:val="22"/>
                <w:szCs w:val="22"/>
              </w:rPr>
            </w:pPr>
            <w:r>
              <w:rPr>
                <w:rFonts w:ascii="Calibri" w:hAnsi="Calibri"/>
                <w:b/>
                <w:bCs/>
                <w:sz w:val="22"/>
                <w:szCs w:val="22"/>
              </w:rPr>
              <w:t>Township</w:t>
            </w:r>
            <w:r w:rsidR="007166D6" w:rsidRPr="00C85C3F">
              <w:rPr>
                <w:rFonts w:ascii="Calibri" w:hAnsi="Calibri"/>
                <w:b/>
                <w:bCs/>
                <w:sz w:val="22"/>
                <w:szCs w:val="22"/>
              </w:rPr>
              <w:t xml:space="preserve"> of South Glengarry-</w:t>
            </w:r>
            <w:r w:rsidR="007166D6">
              <w:rPr>
                <w:rFonts w:ascii="Calibri" w:hAnsi="Calibri"/>
                <w:sz w:val="22"/>
                <w:szCs w:val="22"/>
              </w:rPr>
              <w:t xml:space="preserve"> </w:t>
            </w:r>
            <w:r w:rsidR="00AD772E">
              <w:rPr>
                <w:rFonts w:ascii="Calibri" w:hAnsi="Calibri"/>
                <w:sz w:val="22"/>
                <w:szCs w:val="22"/>
              </w:rPr>
              <w:t xml:space="preserve">Cedar Grove, School House, Fallowfield, </w:t>
            </w:r>
            <w:proofErr w:type="spellStart"/>
            <w:r w:rsidR="00AD772E">
              <w:rPr>
                <w:rFonts w:ascii="Calibri" w:hAnsi="Calibri"/>
                <w:sz w:val="22"/>
                <w:szCs w:val="22"/>
              </w:rPr>
              <w:t>Arlingon</w:t>
            </w:r>
            <w:proofErr w:type="spellEnd"/>
            <w:r w:rsidR="00AD772E">
              <w:rPr>
                <w:rFonts w:ascii="Calibri" w:hAnsi="Calibri"/>
                <w:sz w:val="22"/>
                <w:szCs w:val="22"/>
              </w:rPr>
              <w:t>, McGregor, Maple, Proctor, Cloverdale</w:t>
            </w:r>
            <w:r w:rsidR="003801C3">
              <w:rPr>
                <w:rFonts w:ascii="Calibri" w:hAnsi="Calibri"/>
                <w:sz w:val="22"/>
                <w:szCs w:val="22"/>
              </w:rPr>
              <w:t>, Beaverbrook, Caber, Beaupre, Frog Hollow, Glen Roy, Regent, Ross</w:t>
            </w:r>
          </w:p>
          <w:p w14:paraId="2C17BC14" w14:textId="77777777" w:rsidR="003801C3" w:rsidRDefault="003801C3" w:rsidP="00B960F0">
            <w:pPr>
              <w:tabs>
                <w:tab w:val="left" w:pos="1168"/>
              </w:tabs>
              <w:jc w:val="both"/>
              <w:rPr>
                <w:rFonts w:ascii="Calibri" w:hAnsi="Calibri"/>
                <w:sz w:val="22"/>
                <w:szCs w:val="22"/>
              </w:rPr>
            </w:pPr>
          </w:p>
          <w:p w14:paraId="2FF92B31" w14:textId="3DDD3942" w:rsidR="003801C3" w:rsidRDefault="003801C3" w:rsidP="00B960F0">
            <w:pPr>
              <w:tabs>
                <w:tab w:val="left" w:pos="1168"/>
              </w:tabs>
              <w:jc w:val="both"/>
              <w:rPr>
                <w:rFonts w:ascii="Calibri" w:hAnsi="Calibri"/>
                <w:sz w:val="22"/>
                <w:szCs w:val="22"/>
              </w:rPr>
            </w:pPr>
            <w:r>
              <w:rPr>
                <w:rFonts w:ascii="Calibri" w:hAnsi="Calibri"/>
                <w:sz w:val="22"/>
                <w:szCs w:val="22"/>
              </w:rPr>
              <w:t>The Contractor will be spraying tomorrow, weather permitting in North Dundas, South Dundas, South Stormont, North Stormont, and South Glengarry.</w:t>
            </w:r>
          </w:p>
          <w:p w14:paraId="3CD6A988" w14:textId="77777777" w:rsidR="003801C3" w:rsidRDefault="003801C3" w:rsidP="00B960F0">
            <w:pPr>
              <w:tabs>
                <w:tab w:val="left" w:pos="1168"/>
              </w:tabs>
              <w:jc w:val="both"/>
              <w:rPr>
                <w:rFonts w:ascii="Calibri" w:hAnsi="Calibri"/>
                <w:sz w:val="22"/>
                <w:szCs w:val="22"/>
              </w:rPr>
            </w:pPr>
          </w:p>
          <w:p w14:paraId="1CF08D95" w14:textId="77777777" w:rsidR="008B00E0" w:rsidRDefault="008B00E0" w:rsidP="00B960F0">
            <w:pPr>
              <w:tabs>
                <w:tab w:val="left" w:pos="1168"/>
              </w:tabs>
              <w:jc w:val="both"/>
              <w:rPr>
                <w:rFonts w:ascii="Calibri" w:hAnsi="Calibri"/>
                <w:sz w:val="22"/>
                <w:szCs w:val="22"/>
              </w:rPr>
            </w:pPr>
          </w:p>
          <w:p w14:paraId="2EDC409A" w14:textId="77777777" w:rsidR="008B00E0" w:rsidRDefault="008B00E0" w:rsidP="00B960F0">
            <w:pPr>
              <w:tabs>
                <w:tab w:val="left" w:pos="1168"/>
              </w:tabs>
              <w:jc w:val="both"/>
              <w:rPr>
                <w:rFonts w:ascii="Calibri" w:hAnsi="Calibri"/>
                <w:sz w:val="22"/>
                <w:szCs w:val="22"/>
              </w:rPr>
            </w:pPr>
          </w:p>
          <w:p w14:paraId="6FE82878" w14:textId="77777777" w:rsidR="008B00E0" w:rsidRDefault="008B00E0" w:rsidP="00B960F0">
            <w:pPr>
              <w:tabs>
                <w:tab w:val="left" w:pos="1168"/>
              </w:tabs>
              <w:jc w:val="both"/>
              <w:rPr>
                <w:rFonts w:ascii="Calibri" w:hAnsi="Calibri"/>
                <w:sz w:val="22"/>
                <w:szCs w:val="22"/>
              </w:rPr>
            </w:pPr>
          </w:p>
          <w:p w14:paraId="53A3282D" w14:textId="1D5F225A" w:rsidR="008B00E0" w:rsidRPr="009A5222" w:rsidRDefault="008B00E0" w:rsidP="00B960F0">
            <w:pPr>
              <w:tabs>
                <w:tab w:val="left" w:pos="1168"/>
              </w:tabs>
              <w:jc w:val="both"/>
              <w:rPr>
                <w:rFonts w:ascii="Calibri" w:hAnsi="Calibri"/>
                <w:sz w:val="22"/>
                <w:szCs w:val="22"/>
              </w:rPr>
            </w:pPr>
          </w:p>
        </w:tc>
      </w:tr>
      <w:tr w:rsidR="006C09F7" w14:paraId="1B7B159D" w14:textId="77777777" w:rsidTr="00547A30">
        <w:trPr>
          <w:trHeight w:val="1104"/>
        </w:trPr>
        <w:tc>
          <w:tcPr>
            <w:tcW w:w="2377" w:type="dxa"/>
            <w:tcBorders>
              <w:top w:val="single" w:sz="12" w:space="0" w:color="auto"/>
              <w:left w:val="single" w:sz="12" w:space="0" w:color="auto"/>
              <w:bottom w:val="single" w:sz="12" w:space="0" w:color="auto"/>
              <w:right w:val="single" w:sz="12" w:space="0" w:color="auto"/>
            </w:tcBorders>
            <w:vAlign w:val="center"/>
          </w:tcPr>
          <w:p w14:paraId="523679AB" w14:textId="4808300A" w:rsidR="006C09F7" w:rsidRDefault="00CD1BC9" w:rsidP="002E74F1">
            <w:pPr>
              <w:tabs>
                <w:tab w:val="left" w:pos="1008"/>
              </w:tabs>
              <w:jc w:val="center"/>
              <w:rPr>
                <w:rFonts w:ascii="Calibri" w:hAnsi="Calibri"/>
                <w:sz w:val="22"/>
                <w:szCs w:val="22"/>
              </w:rPr>
            </w:pPr>
            <w:r>
              <w:rPr>
                <w:rFonts w:ascii="Calibri" w:hAnsi="Calibri"/>
                <w:sz w:val="22"/>
                <w:szCs w:val="22"/>
              </w:rPr>
              <w:t>May 10th</w:t>
            </w:r>
          </w:p>
        </w:tc>
        <w:tc>
          <w:tcPr>
            <w:tcW w:w="7547" w:type="dxa"/>
            <w:tcBorders>
              <w:top w:val="single" w:sz="12" w:space="0" w:color="auto"/>
              <w:left w:val="single" w:sz="12" w:space="0" w:color="auto"/>
              <w:bottom w:val="single" w:sz="12" w:space="0" w:color="auto"/>
              <w:right w:val="single" w:sz="12" w:space="0" w:color="auto"/>
            </w:tcBorders>
          </w:tcPr>
          <w:p w14:paraId="2E6A09C0" w14:textId="77777777" w:rsidR="006C09F7" w:rsidRDefault="00CD1BC9" w:rsidP="00B960F0">
            <w:pPr>
              <w:tabs>
                <w:tab w:val="left" w:pos="1168"/>
              </w:tabs>
              <w:jc w:val="both"/>
              <w:rPr>
                <w:rFonts w:ascii="Calibri" w:hAnsi="Calibri"/>
                <w:sz w:val="22"/>
                <w:szCs w:val="22"/>
              </w:rPr>
            </w:pPr>
            <w:r>
              <w:rPr>
                <w:rFonts w:ascii="Calibri" w:hAnsi="Calibri"/>
                <w:sz w:val="22"/>
                <w:szCs w:val="22"/>
              </w:rPr>
              <w:t>The Contractor resumed spraying in North Dundas, South Dundas, North Stormont, Sou</w:t>
            </w:r>
            <w:r w:rsidR="003F4925">
              <w:rPr>
                <w:rFonts w:ascii="Calibri" w:hAnsi="Calibri"/>
                <w:sz w:val="22"/>
                <w:szCs w:val="22"/>
              </w:rPr>
              <w:t>th Stormont, and South Glengarry</w:t>
            </w:r>
          </w:p>
          <w:p w14:paraId="1729ED62" w14:textId="77777777" w:rsidR="003F4925" w:rsidRDefault="003F4925" w:rsidP="00B960F0">
            <w:pPr>
              <w:tabs>
                <w:tab w:val="left" w:pos="1168"/>
              </w:tabs>
              <w:jc w:val="both"/>
              <w:rPr>
                <w:rFonts w:ascii="Calibri" w:hAnsi="Calibri"/>
                <w:sz w:val="22"/>
                <w:szCs w:val="22"/>
              </w:rPr>
            </w:pPr>
          </w:p>
          <w:p w14:paraId="4B4101CD" w14:textId="15B75B62" w:rsidR="00EE5811" w:rsidRDefault="00EE5811" w:rsidP="00B960F0">
            <w:pPr>
              <w:tabs>
                <w:tab w:val="left" w:pos="1168"/>
              </w:tabs>
              <w:jc w:val="both"/>
              <w:rPr>
                <w:rFonts w:ascii="Calibri" w:hAnsi="Calibri"/>
                <w:sz w:val="22"/>
                <w:szCs w:val="22"/>
              </w:rPr>
            </w:pPr>
            <w:r w:rsidRPr="00AD6EC1">
              <w:rPr>
                <w:rFonts w:ascii="Calibri" w:hAnsi="Calibri"/>
                <w:b/>
                <w:bCs/>
                <w:sz w:val="22"/>
                <w:szCs w:val="22"/>
              </w:rPr>
              <w:t>Township of North Dundas-</w:t>
            </w:r>
            <w:r>
              <w:rPr>
                <w:rFonts w:ascii="Calibri" w:hAnsi="Calibri"/>
                <w:sz w:val="22"/>
                <w:szCs w:val="22"/>
              </w:rPr>
              <w:t xml:space="preserve"> Harmony, Merkley, Armstrong, Cloverdale, Van Camp, Fawcett, </w:t>
            </w:r>
            <w:proofErr w:type="spellStart"/>
            <w:r>
              <w:rPr>
                <w:rFonts w:ascii="Calibri" w:hAnsi="Calibri"/>
                <w:sz w:val="22"/>
                <w:szCs w:val="22"/>
              </w:rPr>
              <w:t>Pepperville</w:t>
            </w:r>
            <w:proofErr w:type="spellEnd"/>
            <w:r>
              <w:rPr>
                <w:rFonts w:ascii="Calibri" w:hAnsi="Calibri"/>
                <w:sz w:val="22"/>
                <w:szCs w:val="22"/>
              </w:rPr>
              <w:t>, Morton,</w:t>
            </w:r>
            <w:r w:rsidR="00C331EA">
              <w:rPr>
                <w:rFonts w:ascii="Calibri" w:hAnsi="Calibri"/>
                <w:sz w:val="22"/>
                <w:szCs w:val="22"/>
              </w:rPr>
              <w:t xml:space="preserve"> Development, McIntosh, Mulloy, Guy, Baker, </w:t>
            </w:r>
            <w:proofErr w:type="spellStart"/>
            <w:r w:rsidR="00C331EA">
              <w:rPr>
                <w:rFonts w:ascii="Calibri" w:hAnsi="Calibri"/>
                <w:sz w:val="22"/>
                <w:szCs w:val="22"/>
              </w:rPr>
              <w:t>Hogaboam</w:t>
            </w:r>
            <w:proofErr w:type="spellEnd"/>
            <w:r w:rsidR="00C331EA">
              <w:rPr>
                <w:rFonts w:ascii="Calibri" w:hAnsi="Calibri"/>
                <w:sz w:val="22"/>
                <w:szCs w:val="22"/>
              </w:rPr>
              <w:t>, Pemberton, Sandy Row, Kirkwood</w:t>
            </w:r>
          </w:p>
          <w:p w14:paraId="7B468926" w14:textId="7FB00B41" w:rsidR="00EB1444" w:rsidRDefault="00EB1444" w:rsidP="00B960F0">
            <w:pPr>
              <w:tabs>
                <w:tab w:val="left" w:pos="1168"/>
              </w:tabs>
              <w:jc w:val="both"/>
              <w:rPr>
                <w:rFonts w:ascii="Calibri" w:hAnsi="Calibri"/>
                <w:sz w:val="22"/>
                <w:szCs w:val="22"/>
              </w:rPr>
            </w:pPr>
            <w:r w:rsidRPr="00AD6EC1">
              <w:rPr>
                <w:rFonts w:ascii="Calibri" w:hAnsi="Calibri"/>
                <w:b/>
                <w:bCs/>
                <w:sz w:val="22"/>
                <w:szCs w:val="22"/>
              </w:rPr>
              <w:lastRenderedPageBreak/>
              <w:t>Township of North Stormont-</w:t>
            </w:r>
            <w:r>
              <w:rPr>
                <w:rFonts w:ascii="Calibri" w:hAnsi="Calibri"/>
                <w:sz w:val="22"/>
                <w:szCs w:val="22"/>
              </w:rPr>
              <w:t xml:space="preserve"> </w:t>
            </w:r>
            <w:r w:rsidR="008F5D68">
              <w:rPr>
                <w:rFonts w:ascii="Calibri" w:hAnsi="Calibri"/>
                <w:sz w:val="22"/>
                <w:szCs w:val="22"/>
              </w:rPr>
              <w:t>Lafleche, McLean, Allnut, McLeod, Robinsons Corners,</w:t>
            </w:r>
            <w:r w:rsidR="000E29B4">
              <w:rPr>
                <w:rFonts w:ascii="Calibri" w:hAnsi="Calibri"/>
                <w:sz w:val="22"/>
                <w:szCs w:val="22"/>
              </w:rPr>
              <w:t xml:space="preserve"> Bloomington, Fraser, Sand, Seguin</w:t>
            </w:r>
          </w:p>
          <w:p w14:paraId="570234E8" w14:textId="77777777" w:rsidR="00EE5811" w:rsidRDefault="00EE5811" w:rsidP="00B960F0">
            <w:pPr>
              <w:tabs>
                <w:tab w:val="left" w:pos="1168"/>
              </w:tabs>
              <w:jc w:val="both"/>
              <w:rPr>
                <w:rFonts w:ascii="Calibri" w:hAnsi="Calibri"/>
                <w:sz w:val="22"/>
                <w:szCs w:val="22"/>
              </w:rPr>
            </w:pPr>
          </w:p>
          <w:p w14:paraId="4075B1B5" w14:textId="77777777" w:rsidR="000E29B4" w:rsidRDefault="003F4925" w:rsidP="00B960F0">
            <w:pPr>
              <w:tabs>
                <w:tab w:val="left" w:pos="1168"/>
              </w:tabs>
              <w:jc w:val="both"/>
              <w:rPr>
                <w:rFonts w:ascii="Calibri" w:hAnsi="Calibri"/>
                <w:sz w:val="22"/>
                <w:szCs w:val="22"/>
              </w:rPr>
            </w:pPr>
            <w:r w:rsidRPr="00AD6EC1">
              <w:rPr>
                <w:rFonts w:ascii="Calibri" w:hAnsi="Calibri"/>
                <w:b/>
                <w:bCs/>
                <w:sz w:val="22"/>
                <w:szCs w:val="22"/>
              </w:rPr>
              <w:t>County Roads-</w:t>
            </w:r>
            <w:r>
              <w:rPr>
                <w:rFonts w:ascii="Calibri" w:hAnsi="Calibri"/>
                <w:sz w:val="22"/>
                <w:szCs w:val="22"/>
              </w:rPr>
              <w:t xml:space="preserve"> </w:t>
            </w:r>
            <w:r w:rsidR="000E29B4">
              <w:rPr>
                <w:rFonts w:ascii="Calibri" w:hAnsi="Calibri"/>
                <w:sz w:val="22"/>
                <w:szCs w:val="22"/>
              </w:rPr>
              <w:t>County Road 14, County Road 11, County Road 18, County Road 7, County Road 8, County Road 28 within the Townships of North Dundas, South Dundas, North Stormont, and South Stormont</w:t>
            </w:r>
          </w:p>
          <w:p w14:paraId="73CB8862" w14:textId="77777777" w:rsidR="000E29B4" w:rsidRDefault="000E29B4" w:rsidP="00B960F0">
            <w:pPr>
              <w:tabs>
                <w:tab w:val="left" w:pos="1168"/>
              </w:tabs>
              <w:jc w:val="both"/>
              <w:rPr>
                <w:rFonts w:ascii="Calibri" w:hAnsi="Calibri"/>
                <w:sz w:val="22"/>
                <w:szCs w:val="22"/>
              </w:rPr>
            </w:pPr>
          </w:p>
          <w:p w14:paraId="7CD148FB" w14:textId="77777777" w:rsidR="00270C1C" w:rsidRDefault="00270C1C" w:rsidP="00B960F0">
            <w:pPr>
              <w:tabs>
                <w:tab w:val="left" w:pos="1168"/>
              </w:tabs>
              <w:jc w:val="both"/>
              <w:rPr>
                <w:rFonts w:ascii="Calibri" w:hAnsi="Calibri"/>
                <w:sz w:val="22"/>
                <w:szCs w:val="22"/>
              </w:rPr>
            </w:pPr>
            <w:r w:rsidRPr="00AD6EC1">
              <w:rPr>
                <w:rFonts w:ascii="Calibri" w:hAnsi="Calibri"/>
                <w:b/>
                <w:bCs/>
                <w:sz w:val="22"/>
                <w:szCs w:val="22"/>
              </w:rPr>
              <w:t>Township of South Glengarry</w:t>
            </w:r>
            <w:r>
              <w:rPr>
                <w:rFonts w:ascii="Calibri" w:hAnsi="Calibri"/>
                <w:sz w:val="22"/>
                <w:szCs w:val="22"/>
              </w:rPr>
              <w:t xml:space="preserve">- Pine Ridge, Richer, Robinson North, Branch, Woodland, Cemetery, Kinloch, Nine Mile, </w:t>
            </w:r>
            <w:proofErr w:type="spellStart"/>
            <w:r w:rsidR="00AF2A76">
              <w:rPr>
                <w:rFonts w:ascii="Calibri" w:hAnsi="Calibri"/>
                <w:sz w:val="22"/>
                <w:szCs w:val="22"/>
              </w:rPr>
              <w:t>Connortown</w:t>
            </w:r>
            <w:proofErr w:type="spellEnd"/>
            <w:r w:rsidR="00AF2A76">
              <w:rPr>
                <w:rFonts w:ascii="Calibri" w:hAnsi="Calibri"/>
                <w:sz w:val="22"/>
                <w:szCs w:val="22"/>
              </w:rPr>
              <w:t xml:space="preserve">, Chapel, North Branch, Kennedy, </w:t>
            </w:r>
            <w:r w:rsidR="00614966">
              <w:rPr>
                <w:rFonts w:ascii="Calibri" w:hAnsi="Calibri"/>
                <w:sz w:val="22"/>
                <w:szCs w:val="22"/>
              </w:rPr>
              <w:t>Munro Mills, Glen Brook,</w:t>
            </w:r>
            <w:r w:rsidR="004613D1">
              <w:rPr>
                <w:rFonts w:ascii="Calibri" w:hAnsi="Calibri"/>
                <w:sz w:val="22"/>
                <w:szCs w:val="22"/>
              </w:rPr>
              <w:t xml:space="preserve"> Glen Street, Cashion, Gore, Hay, Kraft,</w:t>
            </w:r>
            <w:r w:rsidR="003C6868">
              <w:rPr>
                <w:rFonts w:ascii="Calibri" w:hAnsi="Calibri"/>
                <w:sz w:val="22"/>
                <w:szCs w:val="22"/>
              </w:rPr>
              <w:t xml:space="preserve"> Fraser, Lapierre, Loyalist, Leitch</w:t>
            </w:r>
          </w:p>
          <w:p w14:paraId="3A014A34" w14:textId="77777777" w:rsidR="003C6868" w:rsidRDefault="003C6868" w:rsidP="00B960F0">
            <w:pPr>
              <w:tabs>
                <w:tab w:val="left" w:pos="1168"/>
              </w:tabs>
              <w:jc w:val="both"/>
              <w:rPr>
                <w:rFonts w:ascii="Calibri" w:hAnsi="Calibri"/>
                <w:sz w:val="22"/>
                <w:szCs w:val="22"/>
              </w:rPr>
            </w:pPr>
          </w:p>
          <w:p w14:paraId="1353B749" w14:textId="5D093262" w:rsidR="009F7D38" w:rsidRDefault="00EA6AE1" w:rsidP="00B960F0">
            <w:pPr>
              <w:tabs>
                <w:tab w:val="left" w:pos="1168"/>
              </w:tabs>
              <w:jc w:val="both"/>
              <w:rPr>
                <w:rFonts w:ascii="Calibri" w:hAnsi="Calibri"/>
                <w:sz w:val="22"/>
                <w:szCs w:val="22"/>
              </w:rPr>
            </w:pPr>
            <w:r>
              <w:rPr>
                <w:rFonts w:ascii="Calibri" w:hAnsi="Calibri"/>
                <w:b/>
                <w:bCs/>
                <w:sz w:val="22"/>
                <w:szCs w:val="22"/>
              </w:rPr>
              <w:t xml:space="preserve">Municipality </w:t>
            </w:r>
            <w:r w:rsidR="009F7D38" w:rsidRPr="00AD6EC1">
              <w:rPr>
                <w:rFonts w:ascii="Calibri" w:hAnsi="Calibri"/>
                <w:b/>
                <w:bCs/>
                <w:sz w:val="22"/>
                <w:szCs w:val="22"/>
              </w:rPr>
              <w:t>of South Dundas-</w:t>
            </w:r>
            <w:r w:rsidR="009F7D38">
              <w:rPr>
                <w:rFonts w:ascii="Calibri" w:hAnsi="Calibri"/>
                <w:sz w:val="22"/>
                <w:szCs w:val="22"/>
              </w:rPr>
              <w:t xml:space="preserve"> Henderson, Strader Hill, Willow, Gilmore, Sandy Creek, </w:t>
            </w:r>
            <w:r w:rsidR="00413065">
              <w:rPr>
                <w:rFonts w:ascii="Calibri" w:hAnsi="Calibri"/>
                <w:sz w:val="22"/>
                <w:szCs w:val="22"/>
              </w:rPr>
              <w:t>Byker, Levere, Chess, Seibert, Waddell, McIntosh, Shaver, Rowena,</w:t>
            </w:r>
            <w:r w:rsidR="008B5D5A">
              <w:rPr>
                <w:rFonts w:ascii="Calibri" w:hAnsi="Calibri"/>
                <w:sz w:val="22"/>
                <w:szCs w:val="22"/>
              </w:rPr>
              <w:t xml:space="preserve"> Bylsma, </w:t>
            </w:r>
            <w:proofErr w:type="spellStart"/>
            <w:r w:rsidR="008B5D5A">
              <w:rPr>
                <w:rFonts w:ascii="Calibri" w:hAnsi="Calibri"/>
                <w:sz w:val="22"/>
                <w:szCs w:val="22"/>
              </w:rPr>
              <w:t>Hanesville</w:t>
            </w:r>
            <w:proofErr w:type="spellEnd"/>
            <w:r w:rsidR="008B5D5A">
              <w:rPr>
                <w:rFonts w:ascii="Calibri" w:hAnsi="Calibri"/>
                <w:sz w:val="22"/>
                <w:szCs w:val="22"/>
              </w:rPr>
              <w:t>, Ridge</w:t>
            </w:r>
          </w:p>
          <w:p w14:paraId="7B4951DB" w14:textId="77777777" w:rsidR="008B5D5A" w:rsidRDefault="008B5D5A" w:rsidP="00B960F0">
            <w:pPr>
              <w:tabs>
                <w:tab w:val="left" w:pos="1168"/>
              </w:tabs>
              <w:jc w:val="both"/>
              <w:rPr>
                <w:rFonts w:ascii="Calibri" w:hAnsi="Calibri"/>
                <w:sz w:val="22"/>
                <w:szCs w:val="22"/>
              </w:rPr>
            </w:pPr>
          </w:p>
          <w:p w14:paraId="14F5FEB9" w14:textId="77777777" w:rsidR="008B5D5A" w:rsidRDefault="008B5D5A" w:rsidP="00B960F0">
            <w:pPr>
              <w:tabs>
                <w:tab w:val="left" w:pos="1168"/>
              </w:tabs>
              <w:jc w:val="both"/>
              <w:rPr>
                <w:rFonts w:ascii="Calibri" w:hAnsi="Calibri"/>
                <w:sz w:val="22"/>
                <w:szCs w:val="22"/>
              </w:rPr>
            </w:pPr>
            <w:r>
              <w:rPr>
                <w:rFonts w:ascii="Calibri" w:hAnsi="Calibri"/>
                <w:sz w:val="22"/>
                <w:szCs w:val="22"/>
              </w:rPr>
              <w:t xml:space="preserve">The contractor will be spraying on Township Roads within the townships of </w:t>
            </w:r>
            <w:r w:rsidR="00DF3785">
              <w:rPr>
                <w:rFonts w:ascii="Calibri" w:hAnsi="Calibri"/>
                <w:sz w:val="22"/>
                <w:szCs w:val="22"/>
              </w:rPr>
              <w:t xml:space="preserve">South Glengarry, North Stormont, </w:t>
            </w:r>
            <w:r w:rsidR="00F65F20">
              <w:rPr>
                <w:rFonts w:ascii="Calibri" w:hAnsi="Calibri"/>
                <w:sz w:val="22"/>
                <w:szCs w:val="22"/>
              </w:rPr>
              <w:t>North Dundas, South Stormont, South Dundas</w:t>
            </w:r>
          </w:p>
          <w:p w14:paraId="0E492113" w14:textId="77777777" w:rsidR="00F65F20" w:rsidRDefault="00F65F20" w:rsidP="00B960F0">
            <w:pPr>
              <w:tabs>
                <w:tab w:val="left" w:pos="1168"/>
              </w:tabs>
              <w:jc w:val="both"/>
              <w:rPr>
                <w:rFonts w:ascii="Calibri" w:hAnsi="Calibri"/>
                <w:sz w:val="22"/>
                <w:szCs w:val="22"/>
              </w:rPr>
            </w:pPr>
          </w:p>
          <w:p w14:paraId="0ED84FD3" w14:textId="44A2C9BB" w:rsidR="00F65F20" w:rsidRDefault="00F65F20" w:rsidP="00B960F0">
            <w:pPr>
              <w:tabs>
                <w:tab w:val="left" w:pos="1168"/>
              </w:tabs>
              <w:jc w:val="both"/>
              <w:rPr>
                <w:rFonts w:ascii="Calibri" w:hAnsi="Calibri"/>
                <w:sz w:val="22"/>
                <w:szCs w:val="22"/>
              </w:rPr>
            </w:pPr>
          </w:p>
        </w:tc>
      </w:tr>
      <w:tr w:rsidR="00AA4AE2" w14:paraId="3B536FF9"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5BF8F835" w14:textId="08EFF6C8" w:rsidR="00AA4AE2" w:rsidRDefault="00907B62" w:rsidP="002E74F1">
            <w:pPr>
              <w:tabs>
                <w:tab w:val="left" w:pos="1008"/>
              </w:tabs>
              <w:jc w:val="center"/>
              <w:rPr>
                <w:rFonts w:ascii="Calibri" w:hAnsi="Calibri"/>
                <w:sz w:val="22"/>
                <w:szCs w:val="22"/>
              </w:rPr>
            </w:pPr>
            <w:r>
              <w:rPr>
                <w:rFonts w:ascii="Calibri" w:hAnsi="Calibri"/>
                <w:sz w:val="22"/>
                <w:szCs w:val="22"/>
              </w:rPr>
              <w:lastRenderedPageBreak/>
              <w:t>May 11th</w:t>
            </w:r>
          </w:p>
        </w:tc>
        <w:tc>
          <w:tcPr>
            <w:tcW w:w="7547" w:type="dxa"/>
            <w:tcBorders>
              <w:top w:val="single" w:sz="12" w:space="0" w:color="auto"/>
              <w:left w:val="single" w:sz="12" w:space="0" w:color="auto"/>
              <w:bottom w:val="single" w:sz="12" w:space="0" w:color="auto"/>
              <w:right w:val="single" w:sz="12" w:space="0" w:color="auto"/>
            </w:tcBorders>
          </w:tcPr>
          <w:p w14:paraId="45111A7C" w14:textId="179B22B8" w:rsidR="007F6B65" w:rsidRDefault="007F6B65" w:rsidP="00B960F0">
            <w:pPr>
              <w:tabs>
                <w:tab w:val="left" w:pos="1168"/>
              </w:tabs>
              <w:jc w:val="both"/>
              <w:rPr>
                <w:rFonts w:ascii="Calibri" w:hAnsi="Calibri"/>
                <w:sz w:val="22"/>
                <w:szCs w:val="22"/>
              </w:rPr>
            </w:pPr>
            <w:r>
              <w:rPr>
                <w:rFonts w:ascii="Calibri" w:hAnsi="Calibri"/>
                <w:sz w:val="22"/>
                <w:szCs w:val="22"/>
              </w:rPr>
              <w:t>The Contractor resumed spraying in within the Townships of North Dundas, South Dundas, North Stormont, South Stormont, and South Glengarry.</w:t>
            </w:r>
          </w:p>
          <w:p w14:paraId="61C9DE2D" w14:textId="77777777" w:rsidR="007F6B65" w:rsidRDefault="007F6B65" w:rsidP="00B960F0">
            <w:pPr>
              <w:tabs>
                <w:tab w:val="left" w:pos="1168"/>
              </w:tabs>
              <w:jc w:val="both"/>
              <w:rPr>
                <w:rFonts w:ascii="Calibri" w:hAnsi="Calibri"/>
                <w:sz w:val="22"/>
                <w:szCs w:val="22"/>
              </w:rPr>
            </w:pPr>
          </w:p>
          <w:p w14:paraId="4D8ED8F1" w14:textId="6455403C" w:rsidR="007F6B65" w:rsidRDefault="007F6B65" w:rsidP="00B960F0">
            <w:pPr>
              <w:tabs>
                <w:tab w:val="left" w:pos="1168"/>
              </w:tabs>
              <w:jc w:val="both"/>
              <w:rPr>
                <w:rFonts w:ascii="Calibri" w:hAnsi="Calibri"/>
                <w:sz w:val="22"/>
                <w:szCs w:val="22"/>
              </w:rPr>
            </w:pPr>
            <w:r w:rsidRPr="009C6CFE">
              <w:rPr>
                <w:rFonts w:ascii="Calibri" w:hAnsi="Calibri"/>
                <w:b/>
                <w:bCs/>
                <w:sz w:val="22"/>
                <w:szCs w:val="22"/>
              </w:rPr>
              <w:t>Township of North Dundas</w:t>
            </w:r>
            <w:r w:rsidR="00EA6AE1" w:rsidRPr="009C6CFE">
              <w:rPr>
                <w:rFonts w:ascii="Calibri" w:hAnsi="Calibri"/>
                <w:b/>
                <w:bCs/>
                <w:sz w:val="22"/>
                <w:szCs w:val="22"/>
              </w:rPr>
              <w:t>-</w:t>
            </w:r>
            <w:r w:rsidR="00EA6AE1">
              <w:rPr>
                <w:rFonts w:ascii="Calibri" w:hAnsi="Calibri"/>
                <w:sz w:val="22"/>
                <w:szCs w:val="22"/>
              </w:rPr>
              <w:t xml:space="preserve"> </w:t>
            </w:r>
            <w:r w:rsidR="008B19B3">
              <w:rPr>
                <w:rFonts w:ascii="Calibri" w:hAnsi="Calibri"/>
                <w:sz w:val="22"/>
                <w:szCs w:val="22"/>
              </w:rPr>
              <w:t>Cameron, River, Nelson, Loughlin, Development, Bailey,</w:t>
            </w:r>
            <w:r w:rsidR="00D6077C">
              <w:rPr>
                <w:rFonts w:ascii="Calibri" w:hAnsi="Calibri"/>
                <w:sz w:val="22"/>
                <w:szCs w:val="22"/>
              </w:rPr>
              <w:t xml:space="preserve"> Sandy Row, McIntyre</w:t>
            </w:r>
          </w:p>
          <w:p w14:paraId="28BA480B" w14:textId="77777777" w:rsidR="00D6077C" w:rsidRDefault="00D6077C" w:rsidP="00B960F0">
            <w:pPr>
              <w:tabs>
                <w:tab w:val="left" w:pos="1168"/>
              </w:tabs>
              <w:jc w:val="both"/>
              <w:rPr>
                <w:rFonts w:ascii="Calibri" w:hAnsi="Calibri"/>
                <w:sz w:val="22"/>
                <w:szCs w:val="22"/>
              </w:rPr>
            </w:pPr>
          </w:p>
          <w:p w14:paraId="4AE745C4" w14:textId="37D53AF0" w:rsidR="00D6077C" w:rsidRDefault="00D6077C" w:rsidP="00B960F0">
            <w:pPr>
              <w:tabs>
                <w:tab w:val="left" w:pos="1168"/>
              </w:tabs>
              <w:jc w:val="both"/>
              <w:rPr>
                <w:rFonts w:ascii="Calibri" w:hAnsi="Calibri"/>
                <w:sz w:val="22"/>
                <w:szCs w:val="22"/>
              </w:rPr>
            </w:pPr>
            <w:r w:rsidRPr="009C6CFE">
              <w:rPr>
                <w:rFonts w:ascii="Calibri" w:hAnsi="Calibri"/>
                <w:b/>
                <w:bCs/>
                <w:sz w:val="22"/>
                <w:szCs w:val="22"/>
              </w:rPr>
              <w:t>Municipality of South Dundas-</w:t>
            </w:r>
            <w:r>
              <w:rPr>
                <w:rFonts w:ascii="Calibri" w:hAnsi="Calibri"/>
                <w:sz w:val="22"/>
                <w:szCs w:val="22"/>
              </w:rPr>
              <w:t xml:space="preserve"> </w:t>
            </w:r>
            <w:r w:rsidR="00115272">
              <w:rPr>
                <w:rFonts w:ascii="Calibri" w:hAnsi="Calibri"/>
                <w:sz w:val="22"/>
                <w:szCs w:val="22"/>
              </w:rPr>
              <w:t>Zeron, English,</w:t>
            </w:r>
            <w:r w:rsidR="00707D72">
              <w:rPr>
                <w:rFonts w:ascii="Calibri" w:hAnsi="Calibri"/>
                <w:sz w:val="22"/>
                <w:szCs w:val="22"/>
              </w:rPr>
              <w:t xml:space="preserve"> Safford, Marine Station, Broken Second, Parlow, Lakeshore, </w:t>
            </w:r>
            <w:proofErr w:type="spellStart"/>
            <w:r w:rsidR="00707D72">
              <w:rPr>
                <w:rFonts w:ascii="Calibri" w:hAnsi="Calibri"/>
                <w:sz w:val="22"/>
                <w:szCs w:val="22"/>
              </w:rPr>
              <w:t>Haddo</w:t>
            </w:r>
            <w:proofErr w:type="spellEnd"/>
            <w:r w:rsidR="00707D72">
              <w:rPr>
                <w:rFonts w:ascii="Calibri" w:hAnsi="Calibri"/>
                <w:sz w:val="22"/>
                <w:szCs w:val="22"/>
              </w:rPr>
              <w:t>, McCaslin, Seeley</w:t>
            </w:r>
          </w:p>
          <w:p w14:paraId="43C72CCF" w14:textId="77777777" w:rsidR="00707D72" w:rsidRDefault="00707D72" w:rsidP="00B960F0">
            <w:pPr>
              <w:tabs>
                <w:tab w:val="left" w:pos="1168"/>
              </w:tabs>
              <w:jc w:val="both"/>
              <w:rPr>
                <w:rFonts w:ascii="Calibri" w:hAnsi="Calibri"/>
                <w:sz w:val="22"/>
                <w:szCs w:val="22"/>
              </w:rPr>
            </w:pPr>
          </w:p>
          <w:p w14:paraId="13FE7FEB" w14:textId="7B0AF29D" w:rsidR="00707D72" w:rsidRDefault="00B362BD" w:rsidP="00B960F0">
            <w:pPr>
              <w:tabs>
                <w:tab w:val="left" w:pos="1168"/>
              </w:tabs>
              <w:jc w:val="both"/>
              <w:rPr>
                <w:rFonts w:ascii="Calibri" w:hAnsi="Calibri"/>
                <w:sz w:val="22"/>
                <w:szCs w:val="22"/>
              </w:rPr>
            </w:pPr>
            <w:r w:rsidRPr="009C6CFE">
              <w:rPr>
                <w:rFonts w:ascii="Calibri" w:hAnsi="Calibri"/>
                <w:b/>
                <w:bCs/>
                <w:sz w:val="22"/>
                <w:szCs w:val="22"/>
              </w:rPr>
              <w:t>Township of South Stormont-</w:t>
            </w:r>
            <w:r>
              <w:rPr>
                <w:rFonts w:ascii="Calibri" w:hAnsi="Calibri"/>
                <w:sz w:val="22"/>
                <w:szCs w:val="22"/>
              </w:rPr>
              <w:t xml:space="preserve"> </w:t>
            </w:r>
            <w:r w:rsidR="00E5653F">
              <w:rPr>
                <w:rFonts w:ascii="Calibri" w:hAnsi="Calibri"/>
                <w:sz w:val="22"/>
                <w:szCs w:val="22"/>
              </w:rPr>
              <w:t>Glen, Hart, Collins, Mary’s, Edwards, Pleasant Valley, Rombough, Morgan, Duffy’s</w:t>
            </w:r>
          </w:p>
          <w:p w14:paraId="2EC6EA2A" w14:textId="77777777" w:rsidR="00CB025A" w:rsidRDefault="00CB025A" w:rsidP="00B960F0">
            <w:pPr>
              <w:tabs>
                <w:tab w:val="left" w:pos="1168"/>
              </w:tabs>
              <w:jc w:val="both"/>
              <w:rPr>
                <w:rFonts w:ascii="Calibri" w:hAnsi="Calibri"/>
                <w:sz w:val="22"/>
                <w:szCs w:val="22"/>
              </w:rPr>
            </w:pPr>
          </w:p>
          <w:p w14:paraId="7272E743" w14:textId="3D932D66" w:rsidR="00CB025A" w:rsidRDefault="00CB025A" w:rsidP="00B960F0">
            <w:pPr>
              <w:tabs>
                <w:tab w:val="left" w:pos="1168"/>
              </w:tabs>
              <w:jc w:val="both"/>
              <w:rPr>
                <w:rFonts w:ascii="Calibri" w:hAnsi="Calibri"/>
                <w:sz w:val="22"/>
                <w:szCs w:val="22"/>
              </w:rPr>
            </w:pPr>
            <w:r w:rsidRPr="009C6CFE">
              <w:rPr>
                <w:rFonts w:ascii="Calibri" w:hAnsi="Calibri"/>
                <w:b/>
                <w:bCs/>
                <w:sz w:val="22"/>
                <w:szCs w:val="22"/>
              </w:rPr>
              <w:t>Township of North Stormont-</w:t>
            </w:r>
            <w:r>
              <w:rPr>
                <w:rFonts w:ascii="Calibri" w:hAnsi="Calibri"/>
                <w:sz w:val="22"/>
                <w:szCs w:val="22"/>
              </w:rPr>
              <w:t xml:space="preserve"> Bender, McMillan</w:t>
            </w:r>
            <w:r w:rsidR="00A5232D">
              <w:rPr>
                <w:rFonts w:ascii="Calibri" w:hAnsi="Calibri"/>
                <w:sz w:val="22"/>
                <w:szCs w:val="22"/>
              </w:rPr>
              <w:t>, McDonald, Campbell, Duff’s Corners, Gunn, Rush City, Bog, Cloverdale, Pigeon Hill, Strathmore</w:t>
            </w:r>
          </w:p>
          <w:p w14:paraId="351293AD" w14:textId="77777777" w:rsidR="00A5232D" w:rsidRDefault="00A5232D" w:rsidP="00B960F0">
            <w:pPr>
              <w:tabs>
                <w:tab w:val="left" w:pos="1168"/>
              </w:tabs>
              <w:jc w:val="both"/>
              <w:rPr>
                <w:rFonts w:ascii="Calibri" w:hAnsi="Calibri"/>
                <w:sz w:val="22"/>
                <w:szCs w:val="22"/>
              </w:rPr>
            </w:pPr>
          </w:p>
          <w:p w14:paraId="45D22C3C" w14:textId="1FF1486E" w:rsidR="00A5232D" w:rsidRDefault="00E31F75" w:rsidP="00B960F0">
            <w:pPr>
              <w:tabs>
                <w:tab w:val="left" w:pos="1168"/>
              </w:tabs>
              <w:jc w:val="both"/>
              <w:rPr>
                <w:rFonts w:ascii="Calibri" w:hAnsi="Calibri"/>
                <w:sz w:val="22"/>
                <w:szCs w:val="22"/>
              </w:rPr>
            </w:pPr>
            <w:r w:rsidRPr="009C6CFE">
              <w:rPr>
                <w:rFonts w:ascii="Calibri" w:hAnsi="Calibri"/>
                <w:b/>
                <w:bCs/>
                <w:sz w:val="22"/>
                <w:szCs w:val="22"/>
              </w:rPr>
              <w:t>T</w:t>
            </w:r>
            <w:r w:rsidR="002C4D94" w:rsidRPr="009C6CFE">
              <w:rPr>
                <w:rFonts w:ascii="Calibri" w:hAnsi="Calibri"/>
                <w:b/>
                <w:bCs/>
                <w:sz w:val="22"/>
                <w:szCs w:val="22"/>
              </w:rPr>
              <w:t>ownship of South Glengarry</w:t>
            </w:r>
            <w:r w:rsidR="002C4D94">
              <w:rPr>
                <w:rFonts w:ascii="Calibri" w:hAnsi="Calibri"/>
                <w:sz w:val="22"/>
                <w:szCs w:val="22"/>
              </w:rPr>
              <w:t>- Fraser, Rae, Paragon, Purcell, Kraft, Airport</w:t>
            </w:r>
          </w:p>
          <w:p w14:paraId="37E3BA04" w14:textId="77777777" w:rsidR="002C4D94" w:rsidRDefault="002C4D94" w:rsidP="00B960F0">
            <w:pPr>
              <w:tabs>
                <w:tab w:val="left" w:pos="1168"/>
              </w:tabs>
              <w:jc w:val="both"/>
              <w:rPr>
                <w:rFonts w:ascii="Calibri" w:hAnsi="Calibri"/>
                <w:sz w:val="22"/>
                <w:szCs w:val="22"/>
              </w:rPr>
            </w:pPr>
          </w:p>
          <w:p w14:paraId="3557297D" w14:textId="77777777" w:rsidR="002C4D94" w:rsidRDefault="002C4D94" w:rsidP="00B960F0">
            <w:pPr>
              <w:tabs>
                <w:tab w:val="left" w:pos="1168"/>
              </w:tabs>
              <w:jc w:val="both"/>
              <w:rPr>
                <w:rFonts w:ascii="Calibri" w:hAnsi="Calibri"/>
                <w:sz w:val="22"/>
                <w:szCs w:val="22"/>
              </w:rPr>
            </w:pPr>
          </w:p>
          <w:p w14:paraId="18B3C501" w14:textId="17DA48D0" w:rsidR="007F6B65" w:rsidRDefault="009C6CFE" w:rsidP="00B960F0">
            <w:pPr>
              <w:tabs>
                <w:tab w:val="left" w:pos="1168"/>
              </w:tabs>
              <w:jc w:val="both"/>
              <w:rPr>
                <w:rFonts w:ascii="Calibri" w:hAnsi="Calibri"/>
                <w:sz w:val="22"/>
                <w:szCs w:val="22"/>
              </w:rPr>
            </w:pPr>
            <w:r>
              <w:rPr>
                <w:rFonts w:ascii="Calibri" w:hAnsi="Calibri"/>
                <w:sz w:val="22"/>
                <w:szCs w:val="22"/>
              </w:rPr>
              <w:t>The Contractor will resume spraying on Monday May 13</w:t>
            </w:r>
            <w:proofErr w:type="gramStart"/>
            <w:r w:rsidRPr="009C6CFE">
              <w:rPr>
                <w:rFonts w:ascii="Calibri" w:hAnsi="Calibri"/>
                <w:sz w:val="22"/>
                <w:szCs w:val="22"/>
                <w:vertAlign w:val="superscript"/>
              </w:rPr>
              <w:t>th</w:t>
            </w:r>
            <w:r>
              <w:rPr>
                <w:rFonts w:ascii="Calibri" w:hAnsi="Calibri"/>
                <w:sz w:val="22"/>
                <w:szCs w:val="22"/>
                <w:vertAlign w:val="superscript"/>
              </w:rPr>
              <w:t xml:space="preserve">  </w:t>
            </w:r>
            <w:r>
              <w:rPr>
                <w:rFonts w:ascii="Calibri" w:hAnsi="Calibri"/>
                <w:sz w:val="22"/>
                <w:szCs w:val="22"/>
              </w:rPr>
              <w:t>within</w:t>
            </w:r>
            <w:proofErr w:type="gramEnd"/>
            <w:r>
              <w:rPr>
                <w:rFonts w:ascii="Calibri" w:hAnsi="Calibri"/>
                <w:sz w:val="22"/>
                <w:szCs w:val="22"/>
              </w:rPr>
              <w:t xml:space="preserve"> the townships of North Stormont and South Stormont, and on County Roads within the townships or North Stormont, South Stormont, North Glengarry, and South Glengarry</w:t>
            </w:r>
          </w:p>
          <w:p w14:paraId="173295D7" w14:textId="77777777" w:rsidR="009C6CFE" w:rsidRDefault="009C6CFE" w:rsidP="00B960F0">
            <w:pPr>
              <w:tabs>
                <w:tab w:val="left" w:pos="1168"/>
              </w:tabs>
              <w:jc w:val="both"/>
              <w:rPr>
                <w:rFonts w:ascii="Calibri" w:hAnsi="Calibri"/>
                <w:sz w:val="22"/>
                <w:szCs w:val="22"/>
              </w:rPr>
            </w:pPr>
          </w:p>
          <w:p w14:paraId="629AD8EF" w14:textId="77777777" w:rsidR="009C6CFE" w:rsidRDefault="009C6CFE" w:rsidP="00B960F0">
            <w:pPr>
              <w:tabs>
                <w:tab w:val="left" w:pos="1168"/>
              </w:tabs>
              <w:jc w:val="both"/>
              <w:rPr>
                <w:rFonts w:ascii="Calibri" w:hAnsi="Calibri"/>
                <w:sz w:val="22"/>
                <w:szCs w:val="22"/>
              </w:rPr>
            </w:pPr>
          </w:p>
          <w:p w14:paraId="701D4658" w14:textId="77777777" w:rsidR="007F6B65" w:rsidRDefault="007F6B65" w:rsidP="00B960F0">
            <w:pPr>
              <w:tabs>
                <w:tab w:val="left" w:pos="1168"/>
              </w:tabs>
              <w:jc w:val="both"/>
              <w:rPr>
                <w:rFonts w:ascii="Calibri" w:hAnsi="Calibri"/>
                <w:sz w:val="22"/>
                <w:szCs w:val="22"/>
              </w:rPr>
            </w:pPr>
          </w:p>
          <w:p w14:paraId="315E7264" w14:textId="77777777" w:rsidR="007F6B65" w:rsidRDefault="007F6B65" w:rsidP="00B960F0">
            <w:pPr>
              <w:tabs>
                <w:tab w:val="left" w:pos="1168"/>
              </w:tabs>
              <w:jc w:val="both"/>
              <w:rPr>
                <w:rFonts w:ascii="Calibri" w:hAnsi="Calibri"/>
                <w:sz w:val="22"/>
                <w:szCs w:val="22"/>
              </w:rPr>
            </w:pPr>
          </w:p>
          <w:p w14:paraId="0DACDAD2" w14:textId="6FCEA2D0" w:rsidR="007F6B65" w:rsidRDefault="007F6B65" w:rsidP="00B960F0">
            <w:pPr>
              <w:tabs>
                <w:tab w:val="left" w:pos="1168"/>
              </w:tabs>
              <w:jc w:val="both"/>
              <w:rPr>
                <w:rFonts w:ascii="Calibri" w:hAnsi="Calibri"/>
                <w:sz w:val="22"/>
                <w:szCs w:val="22"/>
              </w:rPr>
            </w:pPr>
          </w:p>
        </w:tc>
      </w:tr>
      <w:tr w:rsidR="00AB4553" w14:paraId="7AE3CEFF"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0AFB7A74" w14:textId="6AB6A9F9" w:rsidR="00AB4553" w:rsidRDefault="00AB4553" w:rsidP="00CA3F12">
            <w:pPr>
              <w:tabs>
                <w:tab w:val="left" w:pos="116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5CF33FCF" w14:textId="3CC84974" w:rsidR="00AB4553" w:rsidRPr="00CA3F12" w:rsidRDefault="00AB4553" w:rsidP="00CA3F12">
            <w:pPr>
              <w:tabs>
                <w:tab w:val="left" w:pos="1168"/>
              </w:tabs>
              <w:jc w:val="both"/>
              <w:rPr>
                <w:rFonts w:ascii="Calibri" w:hAnsi="Calibri"/>
                <w:sz w:val="22"/>
                <w:szCs w:val="22"/>
              </w:rPr>
            </w:pPr>
          </w:p>
        </w:tc>
      </w:tr>
      <w:tr w:rsidR="00F25AA0" w14:paraId="41EF3705" w14:textId="77777777" w:rsidTr="00907B62">
        <w:trPr>
          <w:trHeight w:val="4664"/>
        </w:trPr>
        <w:tc>
          <w:tcPr>
            <w:tcW w:w="2377" w:type="dxa"/>
            <w:tcBorders>
              <w:top w:val="single" w:sz="12" w:space="0" w:color="auto"/>
              <w:left w:val="single" w:sz="12" w:space="0" w:color="auto"/>
              <w:bottom w:val="single" w:sz="12" w:space="0" w:color="auto"/>
              <w:right w:val="single" w:sz="12" w:space="0" w:color="auto"/>
            </w:tcBorders>
            <w:vAlign w:val="center"/>
          </w:tcPr>
          <w:p w14:paraId="108914EF" w14:textId="2DFE70B9" w:rsidR="00F25AA0" w:rsidRDefault="00907B62" w:rsidP="002E74F1">
            <w:pPr>
              <w:tabs>
                <w:tab w:val="left" w:pos="1008"/>
              </w:tabs>
              <w:jc w:val="center"/>
              <w:rPr>
                <w:rFonts w:ascii="Calibri" w:hAnsi="Calibri"/>
                <w:sz w:val="22"/>
                <w:szCs w:val="22"/>
              </w:rPr>
            </w:pPr>
            <w:r>
              <w:rPr>
                <w:rFonts w:ascii="Calibri" w:hAnsi="Calibri"/>
                <w:sz w:val="22"/>
                <w:szCs w:val="22"/>
              </w:rPr>
              <w:lastRenderedPageBreak/>
              <w:t>May 13th</w:t>
            </w:r>
          </w:p>
        </w:tc>
        <w:tc>
          <w:tcPr>
            <w:tcW w:w="7547" w:type="dxa"/>
            <w:tcBorders>
              <w:top w:val="single" w:sz="12" w:space="0" w:color="auto"/>
              <w:left w:val="single" w:sz="12" w:space="0" w:color="auto"/>
              <w:bottom w:val="single" w:sz="12" w:space="0" w:color="auto"/>
              <w:right w:val="single" w:sz="12" w:space="0" w:color="auto"/>
            </w:tcBorders>
          </w:tcPr>
          <w:p w14:paraId="7919EF5D" w14:textId="77777777" w:rsidR="00F25AA0" w:rsidRDefault="00907B62" w:rsidP="00B960F0">
            <w:pPr>
              <w:tabs>
                <w:tab w:val="left" w:pos="1168"/>
              </w:tabs>
              <w:jc w:val="both"/>
              <w:rPr>
                <w:rFonts w:ascii="Calibri" w:hAnsi="Calibri"/>
                <w:sz w:val="22"/>
                <w:szCs w:val="22"/>
              </w:rPr>
            </w:pPr>
            <w:r>
              <w:rPr>
                <w:rFonts w:ascii="Calibri" w:hAnsi="Calibri"/>
                <w:sz w:val="22"/>
                <w:szCs w:val="22"/>
              </w:rPr>
              <w:t>The Contractor has completed Township Roads within the Township</w:t>
            </w:r>
            <w:r w:rsidR="00DF3055">
              <w:rPr>
                <w:rFonts w:ascii="Calibri" w:hAnsi="Calibri"/>
                <w:sz w:val="22"/>
                <w:szCs w:val="22"/>
              </w:rPr>
              <w:t>s of North Dundas, North Glengarry, South Glengarry, North Stormont and within the Municipality of Sou</w:t>
            </w:r>
            <w:r w:rsidR="002F3B8E">
              <w:rPr>
                <w:rFonts w:ascii="Calibri" w:hAnsi="Calibri"/>
                <w:sz w:val="22"/>
                <w:szCs w:val="22"/>
              </w:rPr>
              <w:t>th Dundas.</w:t>
            </w:r>
          </w:p>
          <w:p w14:paraId="3A78A711" w14:textId="77777777" w:rsidR="002F3B8E" w:rsidRDefault="002F3B8E" w:rsidP="00B960F0">
            <w:pPr>
              <w:tabs>
                <w:tab w:val="left" w:pos="1168"/>
              </w:tabs>
              <w:jc w:val="both"/>
              <w:rPr>
                <w:rFonts w:ascii="Calibri" w:hAnsi="Calibri"/>
                <w:sz w:val="22"/>
                <w:szCs w:val="22"/>
              </w:rPr>
            </w:pPr>
            <w:r>
              <w:rPr>
                <w:rFonts w:ascii="Calibri" w:hAnsi="Calibri"/>
                <w:sz w:val="22"/>
                <w:szCs w:val="22"/>
              </w:rPr>
              <w:br/>
            </w:r>
            <w:r w:rsidR="00485CC1" w:rsidRPr="007D5EBE">
              <w:rPr>
                <w:rFonts w:ascii="Calibri" w:hAnsi="Calibri"/>
                <w:b/>
                <w:bCs/>
                <w:sz w:val="22"/>
                <w:szCs w:val="22"/>
              </w:rPr>
              <w:t>County Roads</w:t>
            </w:r>
            <w:r w:rsidR="00485CC1">
              <w:rPr>
                <w:rFonts w:ascii="Calibri" w:hAnsi="Calibri"/>
                <w:sz w:val="22"/>
                <w:szCs w:val="22"/>
              </w:rPr>
              <w:t xml:space="preserve">- </w:t>
            </w:r>
            <w:r w:rsidR="00663D7A">
              <w:rPr>
                <w:rFonts w:ascii="Calibri" w:hAnsi="Calibri"/>
                <w:sz w:val="22"/>
                <w:szCs w:val="22"/>
              </w:rPr>
              <w:t xml:space="preserve">County Road 24, County Road 10, County Road 18, County Road </w:t>
            </w:r>
            <w:r w:rsidR="00FB2B2A">
              <w:rPr>
                <w:rFonts w:ascii="Calibri" w:hAnsi="Calibri"/>
                <w:sz w:val="22"/>
                <w:szCs w:val="22"/>
              </w:rPr>
              <w:t>43, County Road 11, County Road 12</w:t>
            </w:r>
            <w:r w:rsidR="006A43A6">
              <w:rPr>
                <w:rFonts w:ascii="Calibri" w:hAnsi="Calibri"/>
                <w:sz w:val="22"/>
                <w:szCs w:val="22"/>
              </w:rPr>
              <w:t xml:space="preserve"> within the Townships of North Stormont, North Glengarry, South Stormont</w:t>
            </w:r>
          </w:p>
          <w:p w14:paraId="4A3D8140" w14:textId="77777777" w:rsidR="006A43A6" w:rsidRDefault="006A43A6" w:rsidP="00B960F0">
            <w:pPr>
              <w:tabs>
                <w:tab w:val="left" w:pos="1168"/>
              </w:tabs>
              <w:jc w:val="both"/>
              <w:rPr>
                <w:rFonts w:ascii="Calibri" w:hAnsi="Calibri"/>
                <w:sz w:val="22"/>
                <w:szCs w:val="22"/>
              </w:rPr>
            </w:pPr>
          </w:p>
          <w:p w14:paraId="368FB3BD" w14:textId="0BD6232F" w:rsidR="006A43A6" w:rsidRDefault="006A43A6" w:rsidP="00B960F0">
            <w:pPr>
              <w:tabs>
                <w:tab w:val="left" w:pos="1168"/>
              </w:tabs>
              <w:jc w:val="both"/>
              <w:rPr>
                <w:rFonts w:ascii="Calibri" w:hAnsi="Calibri"/>
                <w:sz w:val="22"/>
                <w:szCs w:val="22"/>
              </w:rPr>
            </w:pPr>
            <w:r w:rsidRPr="007D5EBE">
              <w:rPr>
                <w:rFonts w:ascii="Calibri" w:hAnsi="Calibri"/>
                <w:b/>
                <w:bCs/>
                <w:sz w:val="22"/>
                <w:szCs w:val="22"/>
              </w:rPr>
              <w:t>Township of South Stormont</w:t>
            </w:r>
            <w:r w:rsidR="004601ED" w:rsidRPr="007D5EBE">
              <w:rPr>
                <w:rFonts w:ascii="Calibri" w:hAnsi="Calibri"/>
                <w:b/>
                <w:bCs/>
                <w:sz w:val="22"/>
                <w:szCs w:val="22"/>
              </w:rPr>
              <w:t>-</w:t>
            </w:r>
            <w:r w:rsidR="004601ED">
              <w:rPr>
                <w:rFonts w:ascii="Calibri" w:hAnsi="Calibri"/>
                <w:sz w:val="22"/>
                <w:szCs w:val="22"/>
              </w:rPr>
              <w:t xml:space="preserve"> Island, Delaney, McPhail, Beagle Club, Valade, Atchison,</w:t>
            </w:r>
            <w:r w:rsidR="007D5EBE">
              <w:rPr>
                <w:rFonts w:ascii="Calibri" w:hAnsi="Calibri"/>
                <w:sz w:val="22"/>
                <w:szCs w:val="22"/>
              </w:rPr>
              <w:t xml:space="preserve"> Richmond, Bennet, Black River, Maloney, Lawson, Myers, O’Keefe, Gravel</w:t>
            </w:r>
            <w:r w:rsidR="007D5EBE">
              <w:rPr>
                <w:rFonts w:ascii="Calibri" w:hAnsi="Calibri"/>
                <w:sz w:val="22"/>
                <w:szCs w:val="22"/>
              </w:rPr>
              <w:br/>
            </w:r>
            <w:r w:rsidR="007D5EBE">
              <w:rPr>
                <w:rFonts w:ascii="Calibri" w:hAnsi="Calibri"/>
                <w:sz w:val="22"/>
                <w:szCs w:val="22"/>
              </w:rPr>
              <w:br/>
              <w:t>The Contractor will resume spraying in South Stormont, and on County Roads on Wednesday May 15</w:t>
            </w:r>
            <w:proofErr w:type="gramStart"/>
            <w:r w:rsidR="007D5EBE" w:rsidRPr="007D5EBE">
              <w:rPr>
                <w:rFonts w:ascii="Calibri" w:hAnsi="Calibri"/>
                <w:sz w:val="22"/>
                <w:szCs w:val="22"/>
                <w:vertAlign w:val="superscript"/>
              </w:rPr>
              <w:t>th</w:t>
            </w:r>
            <w:r w:rsidR="007D5EBE">
              <w:rPr>
                <w:rFonts w:ascii="Calibri" w:hAnsi="Calibri"/>
                <w:sz w:val="22"/>
                <w:szCs w:val="22"/>
                <w:vertAlign w:val="superscript"/>
              </w:rPr>
              <w:t xml:space="preserve"> </w:t>
            </w:r>
            <w:r w:rsidR="007D5EBE">
              <w:rPr>
                <w:rFonts w:ascii="Calibri" w:hAnsi="Calibri"/>
                <w:sz w:val="22"/>
                <w:szCs w:val="22"/>
              </w:rPr>
              <w:t>.</w:t>
            </w:r>
            <w:proofErr w:type="gramEnd"/>
            <w:r w:rsidR="007D5EBE">
              <w:rPr>
                <w:rFonts w:ascii="Calibri" w:hAnsi="Calibri"/>
                <w:sz w:val="22"/>
                <w:szCs w:val="22"/>
              </w:rPr>
              <w:t xml:space="preserve"> </w:t>
            </w:r>
          </w:p>
        </w:tc>
      </w:tr>
      <w:tr w:rsidR="00F25AA0" w14:paraId="5D66EB1B"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11A3BA3C" w14:textId="77777777" w:rsidR="00F25AA0" w:rsidRDefault="00F25AA0" w:rsidP="002E74F1">
            <w:pPr>
              <w:tabs>
                <w:tab w:val="left" w:pos="1008"/>
              </w:tabs>
              <w:jc w:val="center"/>
              <w:rPr>
                <w:rFonts w:ascii="Calibri" w:hAnsi="Calibri"/>
                <w:sz w:val="22"/>
                <w:szCs w:val="22"/>
              </w:rPr>
            </w:pPr>
          </w:p>
          <w:p w14:paraId="2CD3D6DF" w14:textId="77777777" w:rsidR="00725D02" w:rsidRDefault="00725D02" w:rsidP="002E74F1">
            <w:pPr>
              <w:tabs>
                <w:tab w:val="left" w:pos="1008"/>
              </w:tabs>
              <w:jc w:val="center"/>
              <w:rPr>
                <w:rFonts w:ascii="Calibri" w:hAnsi="Calibri"/>
                <w:sz w:val="22"/>
                <w:szCs w:val="22"/>
              </w:rPr>
            </w:pPr>
          </w:p>
          <w:p w14:paraId="17C77501" w14:textId="77777777" w:rsidR="00725D02" w:rsidRDefault="00725D02" w:rsidP="002E74F1">
            <w:pPr>
              <w:tabs>
                <w:tab w:val="left" w:pos="1008"/>
              </w:tabs>
              <w:jc w:val="center"/>
              <w:rPr>
                <w:rFonts w:ascii="Calibri" w:hAnsi="Calibri"/>
                <w:sz w:val="22"/>
                <w:szCs w:val="22"/>
              </w:rPr>
            </w:pPr>
          </w:p>
          <w:p w14:paraId="0F239A9E" w14:textId="6E0030A8" w:rsidR="00725D02" w:rsidRDefault="00725D02" w:rsidP="002E74F1">
            <w:pPr>
              <w:tabs>
                <w:tab w:val="left" w:pos="1008"/>
              </w:tabs>
              <w:jc w:val="center"/>
              <w:rPr>
                <w:rFonts w:ascii="Calibri" w:hAnsi="Calibri"/>
                <w:sz w:val="22"/>
                <w:szCs w:val="22"/>
              </w:rPr>
            </w:pPr>
            <w:r>
              <w:rPr>
                <w:rFonts w:ascii="Calibri" w:hAnsi="Calibri"/>
                <w:sz w:val="22"/>
                <w:szCs w:val="22"/>
              </w:rPr>
              <w:t>May 15th</w:t>
            </w:r>
          </w:p>
          <w:p w14:paraId="6F6ACB9F" w14:textId="77777777" w:rsidR="00725D02" w:rsidRDefault="00725D02" w:rsidP="002E74F1">
            <w:pPr>
              <w:tabs>
                <w:tab w:val="left" w:pos="1008"/>
              </w:tabs>
              <w:jc w:val="center"/>
              <w:rPr>
                <w:rFonts w:ascii="Calibri" w:hAnsi="Calibri"/>
                <w:sz w:val="22"/>
                <w:szCs w:val="22"/>
              </w:rPr>
            </w:pPr>
          </w:p>
          <w:p w14:paraId="35804C35" w14:textId="77777777" w:rsidR="00725D02" w:rsidRDefault="00725D02" w:rsidP="002E74F1">
            <w:pPr>
              <w:tabs>
                <w:tab w:val="left" w:pos="1008"/>
              </w:tabs>
              <w:jc w:val="center"/>
              <w:rPr>
                <w:rFonts w:ascii="Calibri" w:hAnsi="Calibri"/>
                <w:sz w:val="22"/>
                <w:szCs w:val="22"/>
              </w:rPr>
            </w:pPr>
          </w:p>
          <w:p w14:paraId="111EA119" w14:textId="79305213" w:rsidR="00725D02" w:rsidRDefault="00725D02" w:rsidP="002E74F1">
            <w:pPr>
              <w:tabs>
                <w:tab w:val="left" w:pos="100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2E4346A0" w14:textId="660C119F" w:rsidR="00F25AA0" w:rsidRDefault="00725D02" w:rsidP="00B960F0">
            <w:pPr>
              <w:tabs>
                <w:tab w:val="left" w:pos="1168"/>
              </w:tabs>
              <w:jc w:val="both"/>
              <w:rPr>
                <w:rFonts w:ascii="Calibri" w:hAnsi="Calibri"/>
                <w:sz w:val="22"/>
                <w:szCs w:val="22"/>
              </w:rPr>
            </w:pPr>
            <w:r>
              <w:rPr>
                <w:rFonts w:ascii="Calibri" w:hAnsi="Calibri"/>
                <w:sz w:val="22"/>
                <w:szCs w:val="22"/>
              </w:rPr>
              <w:t>The Contractor has completed spraying within all townships and roadside spraying of County Roads.</w:t>
            </w:r>
          </w:p>
          <w:p w14:paraId="241A0CC9" w14:textId="77777777" w:rsidR="00725D02" w:rsidRDefault="00725D02" w:rsidP="00B960F0">
            <w:pPr>
              <w:tabs>
                <w:tab w:val="left" w:pos="1168"/>
              </w:tabs>
              <w:jc w:val="both"/>
              <w:rPr>
                <w:rFonts w:ascii="Calibri" w:hAnsi="Calibri"/>
                <w:sz w:val="22"/>
                <w:szCs w:val="22"/>
              </w:rPr>
            </w:pPr>
          </w:p>
          <w:p w14:paraId="19DD648B" w14:textId="23C2BD6F" w:rsidR="00725D02" w:rsidRDefault="00725D02" w:rsidP="00B960F0">
            <w:pPr>
              <w:tabs>
                <w:tab w:val="left" w:pos="1168"/>
              </w:tabs>
              <w:jc w:val="both"/>
              <w:rPr>
                <w:rFonts w:ascii="Calibri" w:hAnsi="Calibri"/>
                <w:sz w:val="22"/>
                <w:szCs w:val="22"/>
              </w:rPr>
            </w:pPr>
            <w:r>
              <w:rPr>
                <w:rFonts w:ascii="Calibri" w:hAnsi="Calibri"/>
                <w:sz w:val="22"/>
                <w:szCs w:val="22"/>
              </w:rPr>
              <w:t>The Contractor will resume spraying guardrails on Monday May 21</w:t>
            </w:r>
            <w:proofErr w:type="gramStart"/>
            <w:r w:rsidRPr="00725D02">
              <w:rPr>
                <w:rFonts w:ascii="Calibri" w:hAnsi="Calibri"/>
                <w:sz w:val="22"/>
                <w:szCs w:val="22"/>
                <w:vertAlign w:val="superscript"/>
              </w:rPr>
              <w:t>st</w:t>
            </w:r>
            <w:r>
              <w:rPr>
                <w:rFonts w:ascii="Calibri" w:hAnsi="Calibri"/>
                <w:sz w:val="22"/>
                <w:szCs w:val="22"/>
                <w:vertAlign w:val="superscript"/>
              </w:rPr>
              <w:t xml:space="preserve"> </w:t>
            </w:r>
            <w:r>
              <w:rPr>
                <w:rFonts w:ascii="Calibri" w:hAnsi="Calibri"/>
                <w:sz w:val="22"/>
                <w:szCs w:val="22"/>
              </w:rPr>
              <w:t>.</w:t>
            </w:r>
            <w:proofErr w:type="gramEnd"/>
            <w:r>
              <w:rPr>
                <w:rFonts w:ascii="Calibri" w:hAnsi="Calibri"/>
                <w:sz w:val="22"/>
                <w:szCs w:val="22"/>
              </w:rPr>
              <w:t xml:space="preserve">  </w:t>
            </w:r>
            <w:r>
              <w:rPr>
                <w:rFonts w:ascii="Calibri" w:hAnsi="Calibri"/>
                <w:sz w:val="22"/>
                <w:szCs w:val="22"/>
              </w:rPr>
              <w:br/>
            </w:r>
            <w:r>
              <w:rPr>
                <w:rFonts w:ascii="Calibri" w:hAnsi="Calibri"/>
                <w:sz w:val="22"/>
                <w:szCs w:val="22"/>
              </w:rPr>
              <w:br/>
            </w:r>
          </w:p>
        </w:tc>
      </w:tr>
      <w:tr w:rsidR="00CA3F12" w14:paraId="305572C3"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50565701" w14:textId="4DC988E1" w:rsidR="00CA3F12" w:rsidRDefault="00CA3F12" w:rsidP="002E74F1">
            <w:pPr>
              <w:tabs>
                <w:tab w:val="left" w:pos="100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3C0F41A0" w14:textId="77777777" w:rsidR="00CA3F12" w:rsidRDefault="00CA3F12" w:rsidP="00B960F0">
            <w:pPr>
              <w:tabs>
                <w:tab w:val="left" w:pos="1168"/>
              </w:tabs>
              <w:jc w:val="both"/>
              <w:rPr>
                <w:rFonts w:ascii="Calibri" w:hAnsi="Calibri"/>
                <w:sz w:val="22"/>
                <w:szCs w:val="22"/>
              </w:rPr>
            </w:pPr>
          </w:p>
        </w:tc>
      </w:tr>
      <w:tr w:rsidR="00CA3F12" w14:paraId="62ABC2E9"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5920824C" w14:textId="479501D2" w:rsidR="00CA3F12" w:rsidRDefault="00CA3F12" w:rsidP="002E74F1">
            <w:pPr>
              <w:tabs>
                <w:tab w:val="left" w:pos="100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42C6E0D2" w14:textId="77777777" w:rsidR="00CA3F12" w:rsidRDefault="00CA3F12" w:rsidP="00B960F0">
            <w:pPr>
              <w:tabs>
                <w:tab w:val="left" w:pos="1168"/>
              </w:tabs>
              <w:jc w:val="both"/>
              <w:rPr>
                <w:rFonts w:ascii="Calibri" w:hAnsi="Calibri"/>
                <w:sz w:val="22"/>
                <w:szCs w:val="22"/>
              </w:rPr>
            </w:pPr>
          </w:p>
        </w:tc>
      </w:tr>
      <w:tr w:rsidR="00D767A0" w14:paraId="7C8B5529"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726150B0" w14:textId="3A73A636" w:rsidR="00D767A0" w:rsidRDefault="00D767A0" w:rsidP="002E74F1">
            <w:pPr>
              <w:tabs>
                <w:tab w:val="left" w:pos="100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26AAABBE" w14:textId="77777777" w:rsidR="00D767A0" w:rsidRPr="00C13ACE" w:rsidRDefault="00D767A0" w:rsidP="00C13ACE">
            <w:pPr>
              <w:tabs>
                <w:tab w:val="left" w:pos="1168"/>
              </w:tabs>
              <w:jc w:val="both"/>
              <w:rPr>
                <w:rFonts w:ascii="Calibri" w:hAnsi="Calibri"/>
                <w:sz w:val="22"/>
                <w:szCs w:val="22"/>
              </w:rPr>
            </w:pPr>
          </w:p>
        </w:tc>
      </w:tr>
      <w:tr w:rsidR="00B17D5B" w14:paraId="4596E1B7" w14:textId="77777777" w:rsidTr="008271D6">
        <w:tc>
          <w:tcPr>
            <w:tcW w:w="2377" w:type="dxa"/>
            <w:tcBorders>
              <w:top w:val="single" w:sz="12" w:space="0" w:color="auto"/>
              <w:left w:val="single" w:sz="12" w:space="0" w:color="auto"/>
              <w:bottom w:val="single" w:sz="12" w:space="0" w:color="auto"/>
              <w:right w:val="single" w:sz="12" w:space="0" w:color="auto"/>
            </w:tcBorders>
            <w:vAlign w:val="center"/>
          </w:tcPr>
          <w:p w14:paraId="084F0E7E" w14:textId="2ED831CC" w:rsidR="00B17D5B" w:rsidRDefault="00B17D5B" w:rsidP="002E74F1">
            <w:pPr>
              <w:tabs>
                <w:tab w:val="left" w:pos="1008"/>
              </w:tabs>
              <w:jc w:val="center"/>
              <w:rPr>
                <w:rFonts w:ascii="Calibri" w:hAnsi="Calibri"/>
                <w:sz w:val="22"/>
                <w:szCs w:val="22"/>
              </w:rPr>
            </w:pPr>
          </w:p>
        </w:tc>
        <w:tc>
          <w:tcPr>
            <w:tcW w:w="7547" w:type="dxa"/>
            <w:tcBorders>
              <w:top w:val="single" w:sz="12" w:space="0" w:color="auto"/>
              <w:left w:val="single" w:sz="12" w:space="0" w:color="auto"/>
              <w:bottom w:val="single" w:sz="12" w:space="0" w:color="auto"/>
              <w:right w:val="single" w:sz="12" w:space="0" w:color="auto"/>
            </w:tcBorders>
          </w:tcPr>
          <w:p w14:paraId="4EC062B0" w14:textId="01BC460E" w:rsidR="00A678BA" w:rsidRPr="00A678BA" w:rsidRDefault="00A678BA" w:rsidP="00A678BA">
            <w:pPr>
              <w:tabs>
                <w:tab w:val="left" w:pos="1168"/>
              </w:tabs>
              <w:jc w:val="center"/>
              <w:rPr>
                <w:rFonts w:ascii="Calibri" w:hAnsi="Calibri"/>
                <w:b/>
                <w:sz w:val="22"/>
                <w:szCs w:val="22"/>
              </w:rPr>
            </w:pPr>
          </w:p>
        </w:tc>
      </w:tr>
    </w:tbl>
    <w:p w14:paraId="485DF2E9" w14:textId="77777777" w:rsidR="00101D71" w:rsidRPr="00101D71" w:rsidRDefault="00E76843" w:rsidP="00101D71">
      <w:pPr>
        <w:tabs>
          <w:tab w:val="left" w:pos="1008"/>
        </w:tabs>
        <w:jc w:val="center"/>
        <w:rPr>
          <w:rFonts w:ascii="Calibri" w:hAnsi="Calibri"/>
          <w:b/>
          <w:sz w:val="22"/>
          <w:szCs w:val="22"/>
        </w:rPr>
      </w:pPr>
      <w:r>
        <w:rPr>
          <w:rFonts w:ascii="Calibri" w:hAnsi="Calibri"/>
          <w:b/>
          <w:sz w:val="22"/>
          <w:szCs w:val="22"/>
        </w:rPr>
        <w:tab/>
      </w:r>
    </w:p>
    <w:p w14:paraId="4E0A1C33" w14:textId="77777777" w:rsidR="007608CA" w:rsidRDefault="007608CA" w:rsidP="000508CE">
      <w:pPr>
        <w:tabs>
          <w:tab w:val="left" w:pos="1008"/>
        </w:tabs>
        <w:rPr>
          <w:rFonts w:ascii="Calibri" w:hAnsi="Calibri"/>
          <w:sz w:val="22"/>
          <w:szCs w:val="22"/>
        </w:rPr>
      </w:pPr>
    </w:p>
    <w:sectPr w:rsidR="007608CA" w:rsidSect="00687636">
      <w:pgSz w:w="12240" w:h="15840" w:code="1"/>
      <w:pgMar w:top="1152" w:right="1170" w:bottom="1152" w:left="1008" w:header="245"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B1E7" w14:textId="77777777" w:rsidR="00687636" w:rsidRDefault="00687636" w:rsidP="003F309A">
      <w:r>
        <w:separator/>
      </w:r>
    </w:p>
  </w:endnote>
  <w:endnote w:type="continuationSeparator" w:id="0">
    <w:p w14:paraId="67177FB8" w14:textId="77777777" w:rsidR="00687636" w:rsidRDefault="00687636" w:rsidP="003F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2844" w14:textId="77777777" w:rsidR="00687636" w:rsidRDefault="00687636" w:rsidP="003F309A">
      <w:r>
        <w:separator/>
      </w:r>
    </w:p>
  </w:footnote>
  <w:footnote w:type="continuationSeparator" w:id="0">
    <w:p w14:paraId="4BAA8391" w14:textId="77777777" w:rsidR="00687636" w:rsidRDefault="00687636" w:rsidP="003F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4CE"/>
    <w:multiLevelType w:val="hybridMultilevel"/>
    <w:tmpl w:val="B64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D0314"/>
    <w:multiLevelType w:val="hybridMultilevel"/>
    <w:tmpl w:val="EEB416B6"/>
    <w:lvl w:ilvl="0" w:tplc="3C668FD2">
      <w:start w:val="2013"/>
      <w:numFmt w:val="decimal"/>
      <w:lvlText w:val="%1"/>
      <w:lvlJc w:val="left"/>
      <w:pPr>
        <w:ind w:left="2160" w:hanging="90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 w15:restartNumberingAfterBreak="0">
    <w:nsid w:val="419128F4"/>
    <w:multiLevelType w:val="hybridMultilevel"/>
    <w:tmpl w:val="14008EDE"/>
    <w:lvl w:ilvl="0" w:tplc="3744921E">
      <w:start w:val="2013"/>
      <w:numFmt w:val="decimal"/>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7C5049"/>
    <w:multiLevelType w:val="hybridMultilevel"/>
    <w:tmpl w:val="0E5C2950"/>
    <w:lvl w:ilvl="0" w:tplc="DC705A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512D0"/>
    <w:multiLevelType w:val="hybridMultilevel"/>
    <w:tmpl w:val="DE08778E"/>
    <w:lvl w:ilvl="0" w:tplc="F7BEC248">
      <w:start w:val="201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282F7E"/>
    <w:multiLevelType w:val="hybridMultilevel"/>
    <w:tmpl w:val="ED46591E"/>
    <w:lvl w:ilvl="0" w:tplc="BE6CBD62">
      <w:start w:val="2012"/>
      <w:numFmt w:val="decimal"/>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2E696A"/>
    <w:multiLevelType w:val="hybridMultilevel"/>
    <w:tmpl w:val="0D5E0DF2"/>
    <w:lvl w:ilvl="0" w:tplc="7D2ED9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C0B68"/>
    <w:multiLevelType w:val="hybridMultilevel"/>
    <w:tmpl w:val="FD621E8C"/>
    <w:lvl w:ilvl="0" w:tplc="5BEE4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215785">
    <w:abstractNumId w:val="0"/>
  </w:num>
  <w:num w:numId="2" w16cid:durableId="355690954">
    <w:abstractNumId w:val="7"/>
  </w:num>
  <w:num w:numId="3" w16cid:durableId="816066832">
    <w:abstractNumId w:val="5"/>
  </w:num>
  <w:num w:numId="4" w16cid:durableId="1511214212">
    <w:abstractNumId w:val="1"/>
  </w:num>
  <w:num w:numId="5" w16cid:durableId="490801117">
    <w:abstractNumId w:val="2"/>
  </w:num>
  <w:num w:numId="6" w16cid:durableId="267199052">
    <w:abstractNumId w:val="4"/>
  </w:num>
  <w:num w:numId="7" w16cid:durableId="1375808012">
    <w:abstractNumId w:val="3"/>
  </w:num>
  <w:num w:numId="8" w16cid:durableId="279458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CE"/>
    <w:rsid w:val="00003D03"/>
    <w:rsid w:val="00014C0E"/>
    <w:rsid w:val="00015404"/>
    <w:rsid w:val="00021816"/>
    <w:rsid w:val="000223D6"/>
    <w:rsid w:val="00025BEA"/>
    <w:rsid w:val="00027C95"/>
    <w:rsid w:val="000367C0"/>
    <w:rsid w:val="00043D54"/>
    <w:rsid w:val="000508CE"/>
    <w:rsid w:val="00053ED0"/>
    <w:rsid w:val="000546A4"/>
    <w:rsid w:val="00064C97"/>
    <w:rsid w:val="00066356"/>
    <w:rsid w:val="000746BE"/>
    <w:rsid w:val="0009069F"/>
    <w:rsid w:val="000B3941"/>
    <w:rsid w:val="000C79FC"/>
    <w:rsid w:val="000E29B4"/>
    <w:rsid w:val="000E3777"/>
    <w:rsid w:val="000E7328"/>
    <w:rsid w:val="000F753B"/>
    <w:rsid w:val="00101D71"/>
    <w:rsid w:val="001038C5"/>
    <w:rsid w:val="00112F3D"/>
    <w:rsid w:val="00115272"/>
    <w:rsid w:val="00123A81"/>
    <w:rsid w:val="001562B2"/>
    <w:rsid w:val="001648A4"/>
    <w:rsid w:val="00165A74"/>
    <w:rsid w:val="00166B2C"/>
    <w:rsid w:val="0017229E"/>
    <w:rsid w:val="0018169E"/>
    <w:rsid w:val="001910F3"/>
    <w:rsid w:val="00196783"/>
    <w:rsid w:val="001C79EA"/>
    <w:rsid w:val="001C7C62"/>
    <w:rsid w:val="001D712C"/>
    <w:rsid w:val="00210402"/>
    <w:rsid w:val="00216568"/>
    <w:rsid w:val="002218AA"/>
    <w:rsid w:val="002219CD"/>
    <w:rsid w:val="00237E87"/>
    <w:rsid w:val="00247B56"/>
    <w:rsid w:val="00250A70"/>
    <w:rsid w:val="002618DB"/>
    <w:rsid w:val="00270C1C"/>
    <w:rsid w:val="00271057"/>
    <w:rsid w:val="0027188D"/>
    <w:rsid w:val="002779F6"/>
    <w:rsid w:val="0028103A"/>
    <w:rsid w:val="00287C2D"/>
    <w:rsid w:val="002A18CB"/>
    <w:rsid w:val="002B7F5A"/>
    <w:rsid w:val="002C0B00"/>
    <w:rsid w:val="002C4D94"/>
    <w:rsid w:val="002C57F8"/>
    <w:rsid w:val="002D6719"/>
    <w:rsid w:val="002E0BC7"/>
    <w:rsid w:val="002E2E04"/>
    <w:rsid w:val="002E74F1"/>
    <w:rsid w:val="002F3B8E"/>
    <w:rsid w:val="00300D47"/>
    <w:rsid w:val="003011C7"/>
    <w:rsid w:val="00371BE9"/>
    <w:rsid w:val="003801C3"/>
    <w:rsid w:val="00395A33"/>
    <w:rsid w:val="003B280A"/>
    <w:rsid w:val="003B3470"/>
    <w:rsid w:val="003C101F"/>
    <w:rsid w:val="003C33FB"/>
    <w:rsid w:val="003C6868"/>
    <w:rsid w:val="003D0EEA"/>
    <w:rsid w:val="003F309A"/>
    <w:rsid w:val="003F4925"/>
    <w:rsid w:val="00412D00"/>
    <w:rsid w:val="00413065"/>
    <w:rsid w:val="004132C4"/>
    <w:rsid w:val="00414397"/>
    <w:rsid w:val="00423F78"/>
    <w:rsid w:val="00432898"/>
    <w:rsid w:val="00442802"/>
    <w:rsid w:val="004601ED"/>
    <w:rsid w:val="004613D1"/>
    <w:rsid w:val="004747B5"/>
    <w:rsid w:val="00485CC1"/>
    <w:rsid w:val="004B6098"/>
    <w:rsid w:val="004B7A2B"/>
    <w:rsid w:val="004C18C2"/>
    <w:rsid w:val="004D4531"/>
    <w:rsid w:val="004E0AF1"/>
    <w:rsid w:val="00511470"/>
    <w:rsid w:val="00512DAB"/>
    <w:rsid w:val="0051695F"/>
    <w:rsid w:val="005240F7"/>
    <w:rsid w:val="00530AB5"/>
    <w:rsid w:val="00534064"/>
    <w:rsid w:val="00534455"/>
    <w:rsid w:val="00547A30"/>
    <w:rsid w:val="005754EF"/>
    <w:rsid w:val="005761AB"/>
    <w:rsid w:val="00581C60"/>
    <w:rsid w:val="005F0B63"/>
    <w:rsid w:val="005F3642"/>
    <w:rsid w:val="00600058"/>
    <w:rsid w:val="00600FF1"/>
    <w:rsid w:val="0060255E"/>
    <w:rsid w:val="00603425"/>
    <w:rsid w:val="00606580"/>
    <w:rsid w:val="00607FD9"/>
    <w:rsid w:val="00613EB4"/>
    <w:rsid w:val="00614831"/>
    <w:rsid w:val="00614966"/>
    <w:rsid w:val="006439F1"/>
    <w:rsid w:val="00653AA9"/>
    <w:rsid w:val="00663D7A"/>
    <w:rsid w:val="006746D4"/>
    <w:rsid w:val="00687636"/>
    <w:rsid w:val="006A1031"/>
    <w:rsid w:val="006A1553"/>
    <w:rsid w:val="006A43A6"/>
    <w:rsid w:val="006C09F7"/>
    <w:rsid w:val="006C2BB8"/>
    <w:rsid w:val="006D7976"/>
    <w:rsid w:val="006E06C1"/>
    <w:rsid w:val="006F624C"/>
    <w:rsid w:val="00701EBA"/>
    <w:rsid w:val="00707D72"/>
    <w:rsid w:val="00711706"/>
    <w:rsid w:val="007166D6"/>
    <w:rsid w:val="00725D02"/>
    <w:rsid w:val="007330AF"/>
    <w:rsid w:val="0073459F"/>
    <w:rsid w:val="00737159"/>
    <w:rsid w:val="0074595A"/>
    <w:rsid w:val="0075311F"/>
    <w:rsid w:val="007608CA"/>
    <w:rsid w:val="007657DE"/>
    <w:rsid w:val="00765F1C"/>
    <w:rsid w:val="00772456"/>
    <w:rsid w:val="007731A2"/>
    <w:rsid w:val="0078308A"/>
    <w:rsid w:val="00790A1E"/>
    <w:rsid w:val="00790F24"/>
    <w:rsid w:val="00792126"/>
    <w:rsid w:val="00795527"/>
    <w:rsid w:val="007A3F20"/>
    <w:rsid w:val="007B39A1"/>
    <w:rsid w:val="007C18F0"/>
    <w:rsid w:val="007C4C65"/>
    <w:rsid w:val="007D5EBE"/>
    <w:rsid w:val="007D7DD0"/>
    <w:rsid w:val="007E0595"/>
    <w:rsid w:val="007E3C76"/>
    <w:rsid w:val="007E4035"/>
    <w:rsid w:val="007F6B65"/>
    <w:rsid w:val="0081256E"/>
    <w:rsid w:val="00812F92"/>
    <w:rsid w:val="00821D8D"/>
    <w:rsid w:val="00824559"/>
    <w:rsid w:val="008246A6"/>
    <w:rsid w:val="008271D6"/>
    <w:rsid w:val="00827C5C"/>
    <w:rsid w:val="00837E01"/>
    <w:rsid w:val="008447EE"/>
    <w:rsid w:val="00844FD6"/>
    <w:rsid w:val="00861E4C"/>
    <w:rsid w:val="00865265"/>
    <w:rsid w:val="00891991"/>
    <w:rsid w:val="00893D9A"/>
    <w:rsid w:val="00897AA3"/>
    <w:rsid w:val="008A066F"/>
    <w:rsid w:val="008A2322"/>
    <w:rsid w:val="008B00E0"/>
    <w:rsid w:val="008B19B3"/>
    <w:rsid w:val="008B5D5A"/>
    <w:rsid w:val="008E0C63"/>
    <w:rsid w:val="008E6B3F"/>
    <w:rsid w:val="008F5D68"/>
    <w:rsid w:val="00907B62"/>
    <w:rsid w:val="00920349"/>
    <w:rsid w:val="00923659"/>
    <w:rsid w:val="009318C7"/>
    <w:rsid w:val="00935B53"/>
    <w:rsid w:val="00942DC0"/>
    <w:rsid w:val="00943495"/>
    <w:rsid w:val="00967453"/>
    <w:rsid w:val="009803C6"/>
    <w:rsid w:val="009A1D7A"/>
    <w:rsid w:val="009C6CFE"/>
    <w:rsid w:val="009D4135"/>
    <w:rsid w:val="009D4222"/>
    <w:rsid w:val="009E1526"/>
    <w:rsid w:val="009E7873"/>
    <w:rsid w:val="009F3896"/>
    <w:rsid w:val="009F7D38"/>
    <w:rsid w:val="00A05219"/>
    <w:rsid w:val="00A13158"/>
    <w:rsid w:val="00A23B76"/>
    <w:rsid w:val="00A5232D"/>
    <w:rsid w:val="00A528F6"/>
    <w:rsid w:val="00A53728"/>
    <w:rsid w:val="00A678BA"/>
    <w:rsid w:val="00A74FB7"/>
    <w:rsid w:val="00A93600"/>
    <w:rsid w:val="00A95EBF"/>
    <w:rsid w:val="00AA1073"/>
    <w:rsid w:val="00AA4AE2"/>
    <w:rsid w:val="00AA5FD1"/>
    <w:rsid w:val="00AB4553"/>
    <w:rsid w:val="00AC32DE"/>
    <w:rsid w:val="00AC6518"/>
    <w:rsid w:val="00AD244B"/>
    <w:rsid w:val="00AD2A2E"/>
    <w:rsid w:val="00AD3E2A"/>
    <w:rsid w:val="00AD3EEA"/>
    <w:rsid w:val="00AD6EC1"/>
    <w:rsid w:val="00AD772E"/>
    <w:rsid w:val="00AF2A76"/>
    <w:rsid w:val="00AF449E"/>
    <w:rsid w:val="00AF515B"/>
    <w:rsid w:val="00B17D5B"/>
    <w:rsid w:val="00B22EE9"/>
    <w:rsid w:val="00B362BD"/>
    <w:rsid w:val="00B60FDD"/>
    <w:rsid w:val="00B7362D"/>
    <w:rsid w:val="00B960F0"/>
    <w:rsid w:val="00BF55FD"/>
    <w:rsid w:val="00C007D1"/>
    <w:rsid w:val="00C05832"/>
    <w:rsid w:val="00C13ACE"/>
    <w:rsid w:val="00C13AD2"/>
    <w:rsid w:val="00C16168"/>
    <w:rsid w:val="00C331EA"/>
    <w:rsid w:val="00C45491"/>
    <w:rsid w:val="00C47F0A"/>
    <w:rsid w:val="00C51ECF"/>
    <w:rsid w:val="00C5717F"/>
    <w:rsid w:val="00C60600"/>
    <w:rsid w:val="00C70B76"/>
    <w:rsid w:val="00C82C7E"/>
    <w:rsid w:val="00C84015"/>
    <w:rsid w:val="00C85C3F"/>
    <w:rsid w:val="00C97D5A"/>
    <w:rsid w:val="00CA3F12"/>
    <w:rsid w:val="00CA71BF"/>
    <w:rsid w:val="00CA7AF7"/>
    <w:rsid w:val="00CB025A"/>
    <w:rsid w:val="00CB62B5"/>
    <w:rsid w:val="00CD1BC9"/>
    <w:rsid w:val="00CD2E50"/>
    <w:rsid w:val="00D23C5C"/>
    <w:rsid w:val="00D32D0D"/>
    <w:rsid w:val="00D50712"/>
    <w:rsid w:val="00D57919"/>
    <w:rsid w:val="00D6077C"/>
    <w:rsid w:val="00D767A0"/>
    <w:rsid w:val="00D7738A"/>
    <w:rsid w:val="00D847B9"/>
    <w:rsid w:val="00DB7078"/>
    <w:rsid w:val="00DB71A8"/>
    <w:rsid w:val="00DC191E"/>
    <w:rsid w:val="00DD3F12"/>
    <w:rsid w:val="00DE165E"/>
    <w:rsid w:val="00DF06B2"/>
    <w:rsid w:val="00DF3055"/>
    <w:rsid w:val="00DF318F"/>
    <w:rsid w:val="00DF3785"/>
    <w:rsid w:val="00E00681"/>
    <w:rsid w:val="00E04A49"/>
    <w:rsid w:val="00E2568F"/>
    <w:rsid w:val="00E31F75"/>
    <w:rsid w:val="00E323BB"/>
    <w:rsid w:val="00E5653F"/>
    <w:rsid w:val="00E63040"/>
    <w:rsid w:val="00E64C95"/>
    <w:rsid w:val="00E76843"/>
    <w:rsid w:val="00E87B9A"/>
    <w:rsid w:val="00EA6AE1"/>
    <w:rsid w:val="00EB1444"/>
    <w:rsid w:val="00EC0637"/>
    <w:rsid w:val="00EC0B3E"/>
    <w:rsid w:val="00ED5676"/>
    <w:rsid w:val="00EE5811"/>
    <w:rsid w:val="00EF623E"/>
    <w:rsid w:val="00EF7608"/>
    <w:rsid w:val="00F25AA0"/>
    <w:rsid w:val="00F42199"/>
    <w:rsid w:val="00F479D4"/>
    <w:rsid w:val="00F56220"/>
    <w:rsid w:val="00F65F20"/>
    <w:rsid w:val="00F67FB6"/>
    <w:rsid w:val="00F73997"/>
    <w:rsid w:val="00F7494A"/>
    <w:rsid w:val="00F812BF"/>
    <w:rsid w:val="00F97C86"/>
    <w:rsid w:val="00FB0595"/>
    <w:rsid w:val="00FB2B2A"/>
    <w:rsid w:val="00FC6DB4"/>
    <w:rsid w:val="00FD1CB3"/>
    <w:rsid w:val="00FE614C"/>
    <w:rsid w:val="00FF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F97EE"/>
  <w15:docId w15:val="{DD928FE4-C5B0-4017-BA11-03135AE8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5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38C5"/>
    <w:rPr>
      <w:rFonts w:ascii="Tahoma" w:hAnsi="Tahoma" w:cs="Tahoma"/>
      <w:sz w:val="16"/>
      <w:szCs w:val="16"/>
    </w:rPr>
  </w:style>
  <w:style w:type="paragraph" w:customStyle="1" w:styleId="17">
    <w:name w:val="_17"/>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FB05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FB059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FB059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FB059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FB0595"/>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FB0595"/>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FB0595"/>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FB0595"/>
    <w:pPr>
      <w:widowControl w:val="0"/>
    </w:pPr>
    <w:rPr>
      <w:b/>
    </w:rPr>
  </w:style>
  <w:style w:type="paragraph" w:customStyle="1" w:styleId="26">
    <w:name w:val="_26"/>
    <w:basedOn w:val="Normal"/>
    <w:rsid w:val="00FB0595"/>
    <w:pPr>
      <w:widowControl w:val="0"/>
    </w:pPr>
  </w:style>
  <w:style w:type="paragraph" w:customStyle="1" w:styleId="25">
    <w:name w:val="_25"/>
    <w:basedOn w:val="Normal"/>
    <w:rsid w:val="00FB05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FB059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FB059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FB059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FB0595"/>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FB0595"/>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FB0595"/>
    <w:pPr>
      <w:widowControl w:val="0"/>
      <w:tabs>
        <w:tab w:val="left" w:pos="5760"/>
        <w:tab w:val="left" w:pos="6480"/>
        <w:tab w:val="left" w:pos="7200"/>
        <w:tab w:val="left" w:pos="7920"/>
        <w:tab w:val="left" w:pos="8640"/>
      </w:tabs>
      <w:ind w:left="5760"/>
    </w:pPr>
  </w:style>
  <w:style w:type="paragraph" w:customStyle="1" w:styleId="18">
    <w:name w:val="_18"/>
    <w:basedOn w:val="Normal"/>
    <w:rsid w:val="00FB0595"/>
    <w:pPr>
      <w:widowControl w:val="0"/>
      <w:tabs>
        <w:tab w:val="left" w:pos="6480"/>
        <w:tab w:val="left" w:pos="7200"/>
        <w:tab w:val="left" w:pos="7920"/>
        <w:tab w:val="left" w:pos="8640"/>
      </w:tabs>
      <w:ind w:left="6480"/>
    </w:pPr>
  </w:style>
  <w:style w:type="paragraph" w:customStyle="1" w:styleId="9">
    <w:name w:val="_9"/>
    <w:basedOn w:val="Normal"/>
    <w:rsid w:val="00FB0595"/>
    <w:pPr>
      <w:widowControl w:val="0"/>
      <w:tabs>
        <w:tab w:val="left" w:pos="6480"/>
        <w:tab w:val="left" w:pos="7200"/>
        <w:tab w:val="left" w:pos="7920"/>
        <w:tab w:val="left" w:pos="8640"/>
      </w:tabs>
      <w:ind w:left="6480"/>
    </w:pPr>
  </w:style>
  <w:style w:type="paragraph" w:customStyle="1" w:styleId="8">
    <w:name w:val="_8"/>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FB05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FB059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FB059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FB059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FB0595"/>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FB0595"/>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FB0595"/>
    <w:pPr>
      <w:widowControl w:val="0"/>
      <w:tabs>
        <w:tab w:val="left" w:pos="5760"/>
        <w:tab w:val="left" w:pos="6480"/>
        <w:tab w:val="left" w:pos="7200"/>
        <w:tab w:val="left" w:pos="7920"/>
        <w:tab w:val="left" w:pos="8640"/>
      </w:tabs>
      <w:ind w:left="5760"/>
    </w:pPr>
  </w:style>
  <w:style w:type="paragraph" w:customStyle="1" w:styleId="a">
    <w:name w:val="_"/>
    <w:basedOn w:val="Normal"/>
    <w:rsid w:val="00FB0595"/>
    <w:pPr>
      <w:widowControl w:val="0"/>
      <w:tabs>
        <w:tab w:val="left" w:pos="6480"/>
        <w:tab w:val="left" w:pos="7200"/>
        <w:tab w:val="left" w:pos="7920"/>
        <w:tab w:val="left" w:pos="8640"/>
      </w:tabs>
      <w:ind w:left="6480"/>
    </w:pPr>
  </w:style>
  <w:style w:type="paragraph" w:customStyle="1" w:styleId="WPNormal">
    <w:name w:val="WP_Normal"/>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FB059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FB0595"/>
    <w:rPr>
      <w:i/>
    </w:rPr>
  </w:style>
  <w:style w:type="paragraph" w:customStyle="1" w:styleId="H1">
    <w:name w:val="H1"/>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FB0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FB059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FB0595"/>
    <w:rPr>
      <w:i/>
    </w:rPr>
  </w:style>
  <w:style w:type="character" w:customStyle="1" w:styleId="CODE">
    <w:name w:val="CODE"/>
    <w:basedOn w:val="DefaultParagraphFont"/>
    <w:rsid w:val="00FB0595"/>
    <w:rPr>
      <w:rFonts w:ascii="Courier New" w:hAnsi="Courier New"/>
      <w:sz w:val="20"/>
    </w:rPr>
  </w:style>
  <w:style w:type="character" w:customStyle="1" w:styleId="WPEmphasis">
    <w:name w:val="WP_Emphasis"/>
    <w:basedOn w:val="DefaultParagraphFont"/>
    <w:rsid w:val="00FB0595"/>
    <w:rPr>
      <w:i/>
    </w:rPr>
  </w:style>
  <w:style w:type="character" w:customStyle="1" w:styleId="WPHyperlink">
    <w:name w:val="WP_Hyperlink"/>
    <w:basedOn w:val="DefaultParagraphFont"/>
    <w:rsid w:val="00FB0595"/>
    <w:rPr>
      <w:color w:val="0000FF"/>
      <w:u w:val="single"/>
    </w:rPr>
  </w:style>
  <w:style w:type="character" w:customStyle="1" w:styleId="FollowedHype">
    <w:name w:val="FollowedHype"/>
    <w:basedOn w:val="DefaultParagraphFont"/>
    <w:rsid w:val="00FB0595"/>
    <w:rPr>
      <w:color w:val="800080"/>
      <w:u w:val="single"/>
    </w:rPr>
  </w:style>
  <w:style w:type="character" w:customStyle="1" w:styleId="Keyboard">
    <w:name w:val="Keyboard"/>
    <w:basedOn w:val="DefaultParagraphFont"/>
    <w:rsid w:val="00FB0595"/>
    <w:rPr>
      <w:rFonts w:ascii="Courier New" w:hAnsi="Courier New"/>
      <w:b/>
      <w:sz w:val="20"/>
    </w:rPr>
  </w:style>
  <w:style w:type="paragraph" w:customStyle="1" w:styleId="Preformatted">
    <w:name w:val="Preformatted"/>
    <w:basedOn w:val="Normal"/>
    <w:rsid w:val="00FB0595"/>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FB0595"/>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FB059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FB0595"/>
    <w:rPr>
      <w:rFonts w:ascii="Courier New" w:hAnsi="Courier New"/>
    </w:rPr>
  </w:style>
  <w:style w:type="character" w:customStyle="1" w:styleId="WPStrong">
    <w:name w:val="WP_Strong"/>
    <w:basedOn w:val="DefaultParagraphFont"/>
    <w:rsid w:val="00FB0595"/>
    <w:rPr>
      <w:b/>
    </w:rPr>
  </w:style>
  <w:style w:type="character" w:customStyle="1" w:styleId="Typewriter">
    <w:name w:val="Typewriter"/>
    <w:basedOn w:val="DefaultParagraphFont"/>
    <w:rsid w:val="00FB0595"/>
    <w:rPr>
      <w:rFonts w:ascii="Courier New" w:hAnsi="Courier New"/>
      <w:sz w:val="20"/>
    </w:rPr>
  </w:style>
  <w:style w:type="character" w:customStyle="1" w:styleId="Variable">
    <w:name w:val="Variable"/>
    <w:basedOn w:val="DefaultParagraphFont"/>
    <w:rsid w:val="00FB0595"/>
    <w:rPr>
      <w:i/>
    </w:rPr>
  </w:style>
  <w:style w:type="character" w:customStyle="1" w:styleId="HTMLMarkup">
    <w:name w:val="HTML Markup"/>
    <w:basedOn w:val="DefaultParagraphFont"/>
    <w:rsid w:val="00FB0595"/>
    <w:rPr>
      <w:vanish/>
      <w:color w:val="FF0000"/>
    </w:rPr>
  </w:style>
  <w:style w:type="character" w:customStyle="1" w:styleId="Comment">
    <w:name w:val="Comment"/>
    <w:basedOn w:val="DefaultParagraphFont"/>
    <w:rsid w:val="00FB0595"/>
    <w:rPr>
      <w:vanish/>
    </w:rPr>
  </w:style>
  <w:style w:type="character" w:styleId="Hyperlink">
    <w:name w:val="Hyperlink"/>
    <w:basedOn w:val="DefaultParagraphFont"/>
    <w:rsid w:val="001038C5"/>
    <w:rPr>
      <w:color w:val="0000FF"/>
      <w:u w:val="single"/>
    </w:rPr>
  </w:style>
  <w:style w:type="paragraph" w:styleId="ListParagraph">
    <w:name w:val="List Paragraph"/>
    <w:basedOn w:val="Normal"/>
    <w:uiPriority w:val="34"/>
    <w:qFormat/>
    <w:rsid w:val="00003D03"/>
    <w:pPr>
      <w:ind w:left="720"/>
      <w:contextualSpacing/>
    </w:pPr>
  </w:style>
  <w:style w:type="paragraph" w:styleId="NoSpacing">
    <w:name w:val="No Spacing"/>
    <w:uiPriority w:val="1"/>
    <w:qFormat/>
    <w:rsid w:val="003F309A"/>
    <w:rPr>
      <w:sz w:val="24"/>
    </w:rPr>
  </w:style>
  <w:style w:type="paragraph" w:styleId="Header">
    <w:name w:val="header"/>
    <w:basedOn w:val="Normal"/>
    <w:link w:val="HeaderChar"/>
    <w:rsid w:val="003F309A"/>
    <w:pPr>
      <w:tabs>
        <w:tab w:val="center" w:pos="4680"/>
        <w:tab w:val="right" w:pos="9360"/>
      </w:tabs>
    </w:pPr>
  </w:style>
  <w:style w:type="character" w:customStyle="1" w:styleId="HeaderChar">
    <w:name w:val="Header Char"/>
    <w:basedOn w:val="DefaultParagraphFont"/>
    <w:link w:val="Header"/>
    <w:rsid w:val="003F309A"/>
    <w:rPr>
      <w:sz w:val="24"/>
    </w:rPr>
  </w:style>
  <w:style w:type="paragraph" w:styleId="Footer">
    <w:name w:val="footer"/>
    <w:basedOn w:val="Normal"/>
    <w:link w:val="FooterChar"/>
    <w:rsid w:val="003F309A"/>
    <w:pPr>
      <w:tabs>
        <w:tab w:val="center" w:pos="4680"/>
        <w:tab w:val="right" w:pos="9360"/>
      </w:tabs>
    </w:pPr>
  </w:style>
  <w:style w:type="character" w:customStyle="1" w:styleId="FooterChar">
    <w:name w:val="Footer Char"/>
    <w:basedOn w:val="DefaultParagraphFont"/>
    <w:link w:val="Footer"/>
    <w:rsid w:val="003F309A"/>
    <w:rPr>
      <w:sz w:val="24"/>
    </w:rPr>
  </w:style>
  <w:style w:type="table" w:styleId="TableGrid">
    <w:name w:val="Table Grid"/>
    <w:basedOn w:val="TableNormal"/>
    <w:rsid w:val="000508CE"/>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dgcounties.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dgcounti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1ecc410-b04e-44a9-9fdc-dd8cb1bbab18">2023</Year>
    <Topic xmlns="01ecc410-b04e-44a9-9fdc-dd8cb1bbab18">Daily Updates</Topic>
    <lcf76f155ced4ddcb4097134ff3c332f xmlns="0b8dad8b-702a-4dcc-9a7e-7dc69ef9f4bb">
      <Terms xmlns="http://schemas.microsoft.com/office/infopath/2007/PartnerControls"/>
    </lcf76f155ced4ddcb4097134ff3c332f>
    <TaxCatchAll xmlns="883ff5e7-34d0-49ba-81b9-94b8195841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13 - Water Monitoring" ma:contentTypeID="0x01010048CFD5B4EDE24B4A8220D13FA3C3485A9100024B3F31CC2A9D46B04A0D642AD75D88" ma:contentTypeVersion="19" ma:contentTypeDescription="Create a new document." ma:contentTypeScope="" ma:versionID="0f5e92c25ee3f09a3f6c1a14872b68af">
  <xsd:schema xmlns:xsd="http://www.w3.org/2001/XMLSchema" xmlns:xs="http://www.w3.org/2001/XMLSchema" xmlns:p="http://schemas.microsoft.com/office/2006/metadata/properties" xmlns:ns2="01ecc410-b04e-44a9-9fdc-dd8cb1bbab18" xmlns:ns3="0b8dad8b-702a-4dcc-9a7e-7dc69ef9f4bb" xmlns:ns4="883ff5e7-34d0-49ba-81b9-94b819584175" targetNamespace="http://schemas.microsoft.com/office/2006/metadata/properties" ma:root="true" ma:fieldsID="5febf9baab4d35efac0643aedccbdf72" ns2:_="" ns3:_="" ns4:_="">
    <xsd:import namespace="01ecc410-b04e-44a9-9fdc-dd8cb1bbab18"/>
    <xsd:import namespace="0b8dad8b-702a-4dcc-9a7e-7dc69ef9f4bb"/>
    <xsd:import namespace="883ff5e7-34d0-49ba-81b9-94b819584175"/>
    <xsd:element name="properties">
      <xsd:complexType>
        <xsd:sequence>
          <xsd:element name="documentManagement">
            <xsd:complexType>
              <xsd:all>
                <xsd:element ref="ns2:Topic" minOccurs="0"/>
                <xsd:element ref="ns2:Year"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cc410-b04e-44a9-9fdc-dd8cb1bbab18" elementFormDefault="qualified">
    <xsd:import namespace="http://schemas.microsoft.com/office/2006/documentManagement/types"/>
    <xsd:import namespace="http://schemas.microsoft.com/office/infopath/2007/PartnerControls"/>
    <xsd:element name="Topic" ma:index="1" nillable="true" ma:displayName="Topic" ma:indexed="true" ma:internalName="Topic" ma:readOnly="false">
      <xsd:simpleType>
        <xsd:restriction base="dms:Text"/>
      </xsd:simpleType>
    </xsd:element>
    <xsd:element name="Year" ma:index="2" nillable="true" ma:displayName="Year"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8dad8b-702a-4dcc-9a7e-7dc69ef9f4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74028b-9e89-47ae-a535-0d3cf77ca46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ff5e7-34d0-49ba-81b9-94b8195841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b522bb3-56c1-458d-bae7-594d1e453e4b}" ma:internalName="TaxCatchAll" ma:readOnly="false" ma:showField="CatchAllData" ma:web="883ff5e7-34d0-49ba-81b9-94b819584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774028b-9e89-47ae-a535-0d3cf77ca461" ContentTypeId="0x01010048CFD5B4EDE24B4A8220D13FA3C3485A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8803-685C-4CF4-8F42-508F2A6AD1E1}">
  <ds:schemaRefs>
    <ds:schemaRef ds:uri="http://schemas.microsoft.com/office/2006/metadata/properties"/>
    <ds:schemaRef ds:uri="http://schemas.microsoft.com/office/infopath/2007/PartnerControls"/>
    <ds:schemaRef ds:uri="01ecc410-b04e-44a9-9fdc-dd8cb1bbab18"/>
    <ds:schemaRef ds:uri="0b8dad8b-702a-4dcc-9a7e-7dc69ef9f4bb"/>
    <ds:schemaRef ds:uri="883ff5e7-34d0-49ba-81b9-94b819584175"/>
  </ds:schemaRefs>
</ds:datastoreItem>
</file>

<file path=customXml/itemProps2.xml><?xml version="1.0" encoding="utf-8"?>
<ds:datastoreItem xmlns:ds="http://schemas.openxmlformats.org/officeDocument/2006/customXml" ds:itemID="{6EE28230-2B21-4B65-88BB-3DF3982B8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cc410-b04e-44a9-9fdc-dd8cb1bbab18"/>
    <ds:schemaRef ds:uri="0b8dad8b-702a-4dcc-9a7e-7dc69ef9f4bb"/>
    <ds:schemaRef ds:uri="883ff5e7-34d0-49ba-81b9-94b81958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20485-77C9-4EB9-992F-101F9C739DBD}">
  <ds:schemaRefs>
    <ds:schemaRef ds:uri="Microsoft.SharePoint.Taxonomy.ContentTypeSync"/>
  </ds:schemaRefs>
</ds:datastoreItem>
</file>

<file path=customXml/itemProps4.xml><?xml version="1.0" encoding="utf-8"?>
<ds:datastoreItem xmlns:ds="http://schemas.openxmlformats.org/officeDocument/2006/customXml" ds:itemID="{47C6E92C-30C9-46DB-AEA8-86C823BE73EF}">
  <ds:schemaRefs>
    <ds:schemaRef ds:uri="http://schemas.microsoft.com/sharepoint/v3/contenttype/forms"/>
  </ds:schemaRefs>
</ds:datastoreItem>
</file>

<file path=customXml/itemProps5.xml><?xml version="1.0" encoding="utf-8"?>
<ds:datastoreItem xmlns:ds="http://schemas.openxmlformats.org/officeDocument/2006/customXml" ds:itemID="{344D03AD-21DE-4016-AFA2-EE6E83DA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b_dehaan</dc:creator>
  <cp:lastModifiedBy>Philip Duncan</cp:lastModifiedBy>
  <cp:revision>2</cp:revision>
  <cp:lastPrinted>2017-05-23T14:34:00Z</cp:lastPrinted>
  <dcterms:created xsi:type="dcterms:W3CDTF">2024-05-21T12:52:00Z</dcterms:created>
  <dcterms:modified xsi:type="dcterms:W3CDTF">2024-05-21T12:52:00Z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0x01010048CFD5B4EDE24B4A8220D13FA3C3485A9100024B3F31CC2A9D46B04A0D642AD75D88</vt:lpwstr>
  </property>
  <property fmtid="{D5CDD505-2E9C-101B-9397-08002B2CF9AE}" pid="3" name="_ExtendedDescription">
    <vt:lpwstr/>
  </property>
</Properties>
</file>